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4B1A" w14:textId="77777777" w:rsidR="00150607" w:rsidRPr="00CD4508" w:rsidRDefault="00150607" w:rsidP="00150607">
      <w:pPr>
        <w:pStyle w:val="Numpara1"/>
        <w:numPr>
          <w:ilvl w:val="0"/>
          <w:numId w:val="0"/>
        </w:numPr>
        <w:spacing w:before="120"/>
        <w:jc w:val="center"/>
        <w:rPr>
          <w:rFonts w:ascii="Calibri" w:hAnsi="Calibri" w:cs="Calibri"/>
          <w:b/>
          <w:sz w:val="36"/>
          <w:szCs w:val="36"/>
        </w:rPr>
      </w:pPr>
      <w:r w:rsidRPr="00CD4508">
        <w:rPr>
          <w:rFonts w:ascii="Calibri" w:hAnsi="Calibri" w:cs="Calibri"/>
          <w:b/>
          <w:sz w:val="36"/>
          <w:szCs w:val="36"/>
        </w:rPr>
        <w:t>POH1804</w:t>
      </w:r>
    </w:p>
    <w:p w14:paraId="1F551C7C" w14:textId="77777777" w:rsidR="00150607" w:rsidRPr="00CD4508" w:rsidRDefault="00150607" w:rsidP="00150607">
      <w:pPr>
        <w:pStyle w:val="Numpara1"/>
        <w:numPr>
          <w:ilvl w:val="0"/>
          <w:numId w:val="0"/>
        </w:numPr>
        <w:spacing w:before="120"/>
        <w:jc w:val="center"/>
        <w:rPr>
          <w:rFonts w:ascii="Calibri" w:hAnsi="Calibri" w:cs="Calibri"/>
          <w:b/>
          <w:sz w:val="36"/>
          <w:szCs w:val="36"/>
        </w:rPr>
      </w:pPr>
      <w:r w:rsidRPr="00CD4508">
        <w:rPr>
          <w:rFonts w:ascii="Calibri" w:hAnsi="Calibri" w:cs="Calibri"/>
          <w:b/>
          <w:sz w:val="36"/>
          <w:szCs w:val="36"/>
        </w:rPr>
        <w:t>RENT SETTING</w:t>
      </w:r>
      <w:r>
        <w:rPr>
          <w:rFonts w:ascii="Calibri" w:hAnsi="Calibri" w:cs="Calibri"/>
          <w:b/>
          <w:sz w:val="36"/>
          <w:szCs w:val="36"/>
        </w:rPr>
        <w:t xml:space="preserve"> AND REBATE</w:t>
      </w:r>
      <w:r w:rsidRPr="00CD4508">
        <w:rPr>
          <w:rFonts w:ascii="Calibri" w:hAnsi="Calibri" w:cs="Calibri"/>
          <w:b/>
          <w:sz w:val="36"/>
          <w:szCs w:val="36"/>
        </w:rPr>
        <w:t xml:space="preserve"> POLICY</w:t>
      </w:r>
    </w:p>
    <w:p w14:paraId="1F327413" w14:textId="77777777" w:rsidR="00150607" w:rsidRPr="00CD4508" w:rsidRDefault="00150607" w:rsidP="00150607">
      <w:pPr>
        <w:pStyle w:val="Numpara1"/>
        <w:numPr>
          <w:ilvl w:val="0"/>
          <w:numId w:val="0"/>
        </w:numPr>
        <w:spacing w:before="0"/>
        <w:jc w:val="both"/>
        <w:rPr>
          <w:rFonts w:ascii="Calibri" w:hAnsi="Calibri" w:cs="Calibri"/>
          <w:b/>
          <w:sz w:val="32"/>
          <w:szCs w:val="32"/>
        </w:rPr>
      </w:pPr>
    </w:p>
    <w:p w14:paraId="6D9BCB20" w14:textId="77777777" w:rsidR="00150607" w:rsidRPr="00CD4508" w:rsidRDefault="00150607" w:rsidP="00943477">
      <w:pPr>
        <w:pStyle w:val="Numpara1"/>
        <w:numPr>
          <w:ilvl w:val="0"/>
          <w:numId w:val="2"/>
        </w:numPr>
        <w:spacing w:before="0"/>
        <w:jc w:val="both"/>
        <w:rPr>
          <w:rFonts w:ascii="Calibri" w:hAnsi="Calibri" w:cs="Calibri"/>
          <w:b/>
          <w:sz w:val="32"/>
          <w:szCs w:val="32"/>
        </w:rPr>
      </w:pPr>
      <w:r w:rsidRPr="00CD4508">
        <w:rPr>
          <w:rFonts w:ascii="Calibri" w:hAnsi="Calibri" w:cs="Calibri"/>
          <w:b/>
          <w:sz w:val="32"/>
          <w:szCs w:val="32"/>
        </w:rPr>
        <w:t>INTRODUCTION</w:t>
      </w:r>
    </w:p>
    <w:p w14:paraId="0CCC7CBF" w14:textId="77777777" w:rsidR="00150607" w:rsidRPr="00414914" w:rsidRDefault="00150607" w:rsidP="00943477">
      <w:pPr>
        <w:jc w:val="both"/>
        <w:rPr>
          <w:rFonts w:ascii="Calibri" w:hAnsi="Calibri" w:cs="Calibri"/>
          <w:sz w:val="22"/>
          <w:szCs w:val="22"/>
        </w:rPr>
      </w:pPr>
      <w:r w:rsidRPr="00414914">
        <w:rPr>
          <w:rFonts w:ascii="Calibri" w:hAnsi="Calibri" w:cs="Calibri"/>
          <w:sz w:val="22"/>
          <w:szCs w:val="22"/>
        </w:rPr>
        <w:t xml:space="preserve">This policy establishes the approach of </w:t>
      </w:r>
      <w:r>
        <w:rPr>
          <w:rFonts w:ascii="Calibri" w:hAnsi="Calibri" w:cs="Calibri"/>
          <w:sz w:val="22"/>
          <w:szCs w:val="22"/>
        </w:rPr>
        <w:t xml:space="preserve">Women’s Property Initiatives (WPI) </w:t>
      </w:r>
      <w:r w:rsidRPr="00414914">
        <w:rPr>
          <w:rFonts w:ascii="Calibri" w:hAnsi="Calibri" w:cs="Calibri"/>
          <w:sz w:val="22"/>
          <w:szCs w:val="22"/>
        </w:rPr>
        <w:t xml:space="preserve">to setting rent in its rental housing programs.  </w:t>
      </w:r>
    </w:p>
    <w:p w14:paraId="1BDA5114" w14:textId="77777777" w:rsidR="00150607" w:rsidRPr="00CD4508" w:rsidRDefault="00150607" w:rsidP="00943477">
      <w:pPr>
        <w:pStyle w:val="Numpara1"/>
        <w:numPr>
          <w:ilvl w:val="0"/>
          <w:numId w:val="0"/>
        </w:numPr>
        <w:spacing w:before="0"/>
        <w:jc w:val="both"/>
        <w:rPr>
          <w:rFonts w:ascii="Calibri" w:hAnsi="Calibri" w:cs="Calibri"/>
          <w:b/>
          <w:smallCaps/>
          <w:sz w:val="22"/>
        </w:rPr>
      </w:pPr>
    </w:p>
    <w:p w14:paraId="21652DC1" w14:textId="77777777" w:rsidR="00150607" w:rsidRPr="00CD4508" w:rsidRDefault="00150607" w:rsidP="00943477">
      <w:pPr>
        <w:pStyle w:val="Numpara1"/>
        <w:numPr>
          <w:ilvl w:val="0"/>
          <w:numId w:val="2"/>
        </w:numPr>
        <w:spacing w:before="0"/>
        <w:jc w:val="both"/>
        <w:rPr>
          <w:rFonts w:ascii="Calibri" w:hAnsi="Calibri" w:cs="Calibri"/>
          <w:sz w:val="32"/>
          <w:szCs w:val="32"/>
        </w:rPr>
      </w:pPr>
      <w:r w:rsidRPr="00CD4508">
        <w:rPr>
          <w:rFonts w:ascii="Calibri" w:hAnsi="Calibri" w:cs="Calibri"/>
          <w:b/>
          <w:sz w:val="32"/>
          <w:szCs w:val="32"/>
        </w:rPr>
        <w:t>POLICY SCOPE</w:t>
      </w:r>
    </w:p>
    <w:p w14:paraId="784BE03A" w14:textId="69C8A149" w:rsidR="00150607" w:rsidRPr="00F83386" w:rsidRDefault="00150607" w:rsidP="00943477">
      <w:pPr>
        <w:jc w:val="both"/>
        <w:rPr>
          <w:rFonts w:ascii="Calibri" w:hAnsi="Calibri" w:cs="Calibri"/>
          <w:sz w:val="22"/>
          <w:szCs w:val="22"/>
        </w:rPr>
      </w:pPr>
      <w:r w:rsidRPr="00F83386">
        <w:rPr>
          <w:rFonts w:ascii="Calibri" w:hAnsi="Calibri" w:cs="Calibri"/>
          <w:sz w:val="22"/>
          <w:szCs w:val="22"/>
        </w:rPr>
        <w:t>This policy applies to all long-term rental properties owned or managed by WPI</w:t>
      </w:r>
      <w:r w:rsidR="00792A06">
        <w:rPr>
          <w:rFonts w:ascii="Calibri" w:hAnsi="Calibri" w:cs="Calibri"/>
          <w:sz w:val="22"/>
          <w:szCs w:val="22"/>
        </w:rPr>
        <w:t xml:space="preserve">, except for </w:t>
      </w:r>
      <w:r w:rsidRPr="00F83386">
        <w:rPr>
          <w:rFonts w:ascii="Calibri" w:hAnsi="Calibri" w:cs="Calibri"/>
          <w:sz w:val="22"/>
          <w:szCs w:val="22"/>
        </w:rPr>
        <w:t>properties managed by WPI on behalf of other property owners where the owner retains responsibility for determining rent.</w:t>
      </w:r>
    </w:p>
    <w:p w14:paraId="289C1F8A" w14:textId="77777777" w:rsidR="00150607" w:rsidRPr="00150607" w:rsidRDefault="00150607" w:rsidP="00943477">
      <w:pPr>
        <w:pStyle w:val="Numpara1"/>
        <w:numPr>
          <w:ilvl w:val="0"/>
          <w:numId w:val="0"/>
        </w:numPr>
        <w:spacing w:before="0"/>
        <w:ind w:left="360"/>
        <w:jc w:val="both"/>
        <w:rPr>
          <w:rFonts w:ascii="Calibri" w:hAnsi="Calibri" w:cs="Calibri"/>
          <w:b/>
          <w:sz w:val="22"/>
        </w:rPr>
      </w:pPr>
    </w:p>
    <w:p w14:paraId="768DA91B" w14:textId="4A93F147" w:rsidR="00150607" w:rsidRPr="00CD4508" w:rsidRDefault="00150607" w:rsidP="00943477">
      <w:pPr>
        <w:pStyle w:val="Numpara1"/>
        <w:numPr>
          <w:ilvl w:val="0"/>
          <w:numId w:val="2"/>
        </w:numPr>
        <w:spacing w:before="0"/>
        <w:jc w:val="both"/>
        <w:rPr>
          <w:rFonts w:ascii="Calibri" w:hAnsi="Calibri" w:cs="Calibri"/>
          <w:b/>
          <w:sz w:val="32"/>
          <w:szCs w:val="32"/>
        </w:rPr>
      </w:pPr>
      <w:r w:rsidRPr="00CD4508">
        <w:rPr>
          <w:rFonts w:ascii="Calibri" w:hAnsi="Calibri" w:cs="Calibri"/>
          <w:b/>
          <w:sz w:val="32"/>
          <w:szCs w:val="32"/>
        </w:rPr>
        <w:t>PURPOSE</w:t>
      </w:r>
    </w:p>
    <w:p w14:paraId="339D6240" w14:textId="0AFF562F" w:rsidR="00150607" w:rsidRDefault="00150607" w:rsidP="00943477">
      <w:pPr>
        <w:pStyle w:val="Numpara1"/>
        <w:numPr>
          <w:ilvl w:val="0"/>
          <w:numId w:val="0"/>
        </w:numPr>
        <w:spacing w:before="0"/>
        <w:jc w:val="both"/>
        <w:rPr>
          <w:rFonts w:ascii="Calibri" w:hAnsi="Calibri" w:cs="Calibri"/>
          <w:sz w:val="22"/>
          <w:lang w:eastAsia="en-GB"/>
        </w:rPr>
      </w:pPr>
      <w:r w:rsidRPr="00CD4508">
        <w:rPr>
          <w:rFonts w:ascii="Calibri" w:hAnsi="Calibri" w:cs="Calibri"/>
          <w:sz w:val="22"/>
          <w:lang w:eastAsia="en-GB"/>
        </w:rPr>
        <w:t>This policy outlines WPI’s guiding principle</w:t>
      </w:r>
      <w:r>
        <w:rPr>
          <w:rFonts w:ascii="Calibri" w:hAnsi="Calibri" w:cs="Calibri"/>
          <w:sz w:val="22"/>
          <w:lang w:eastAsia="en-GB"/>
        </w:rPr>
        <w:t>s</w:t>
      </w:r>
      <w:r w:rsidRPr="00CD4508">
        <w:rPr>
          <w:rFonts w:ascii="Calibri" w:hAnsi="Calibri" w:cs="Calibri"/>
          <w:sz w:val="22"/>
          <w:lang w:eastAsia="en-GB"/>
        </w:rPr>
        <w:t xml:space="preserve"> to </w:t>
      </w:r>
      <w:r>
        <w:rPr>
          <w:rFonts w:ascii="Calibri" w:hAnsi="Calibri" w:cs="Calibri"/>
          <w:sz w:val="22"/>
          <w:lang w:eastAsia="en-GB"/>
        </w:rPr>
        <w:t xml:space="preserve">rent setting </w:t>
      </w:r>
      <w:r w:rsidRPr="00CD4508">
        <w:rPr>
          <w:rFonts w:ascii="Calibri" w:hAnsi="Calibri" w:cs="Calibri"/>
          <w:sz w:val="22"/>
          <w:lang w:eastAsia="en-GB"/>
        </w:rPr>
        <w:t>and rent</w:t>
      </w:r>
      <w:r>
        <w:rPr>
          <w:rFonts w:ascii="Calibri" w:hAnsi="Calibri" w:cs="Calibri"/>
          <w:sz w:val="22"/>
          <w:lang w:eastAsia="en-GB"/>
        </w:rPr>
        <w:t xml:space="preserve">al rebates </w:t>
      </w:r>
      <w:r w:rsidRPr="00CD4508">
        <w:rPr>
          <w:rFonts w:ascii="Calibri" w:hAnsi="Calibri" w:cs="Calibri"/>
          <w:sz w:val="22"/>
          <w:lang w:eastAsia="en-GB"/>
        </w:rPr>
        <w:t xml:space="preserve">for its rental housing programs identified within the scope of this policy. </w:t>
      </w:r>
    </w:p>
    <w:p w14:paraId="0099FBE1" w14:textId="77777777" w:rsidR="00150607" w:rsidRDefault="00150607" w:rsidP="00943477">
      <w:pPr>
        <w:pStyle w:val="Numpara1"/>
        <w:numPr>
          <w:ilvl w:val="0"/>
          <w:numId w:val="0"/>
        </w:numPr>
        <w:spacing w:before="0"/>
        <w:jc w:val="both"/>
        <w:rPr>
          <w:rFonts w:ascii="Calibri" w:hAnsi="Calibri" w:cs="Calibri"/>
          <w:sz w:val="22"/>
          <w:lang w:eastAsia="en-GB"/>
        </w:rPr>
      </w:pPr>
    </w:p>
    <w:p w14:paraId="5ED80A88" w14:textId="77777777" w:rsidR="00150607" w:rsidRPr="00CD4508" w:rsidRDefault="00150607" w:rsidP="00943477">
      <w:pPr>
        <w:pStyle w:val="Numpara1"/>
        <w:numPr>
          <w:ilvl w:val="0"/>
          <w:numId w:val="2"/>
        </w:numPr>
        <w:spacing w:before="0"/>
        <w:jc w:val="both"/>
        <w:rPr>
          <w:rFonts w:ascii="Calibri" w:hAnsi="Calibri" w:cs="Calibri"/>
          <w:sz w:val="32"/>
          <w:szCs w:val="32"/>
        </w:rPr>
      </w:pPr>
      <w:r w:rsidRPr="00CD4508">
        <w:rPr>
          <w:rFonts w:ascii="Calibri" w:hAnsi="Calibri" w:cs="Calibri"/>
          <w:b/>
          <w:sz w:val="32"/>
          <w:szCs w:val="32"/>
        </w:rPr>
        <w:t>POLICY STATEMENT</w:t>
      </w:r>
    </w:p>
    <w:p w14:paraId="2118FCCB" w14:textId="77777777" w:rsidR="00150607" w:rsidRPr="00F83386" w:rsidRDefault="00150607" w:rsidP="00943477">
      <w:pPr>
        <w:pStyle w:val="Heading2"/>
        <w:numPr>
          <w:ilvl w:val="1"/>
          <w:numId w:val="2"/>
        </w:numPr>
        <w:ind w:left="851" w:hanging="851"/>
        <w:jc w:val="both"/>
        <w:rPr>
          <w:rFonts w:ascii="Calibri" w:hAnsi="Calibri" w:cs="Calibri"/>
          <w:sz w:val="22"/>
          <w:szCs w:val="22"/>
        </w:rPr>
      </w:pPr>
      <w:bookmarkStart w:id="0" w:name="_Hlk41984397"/>
      <w:r w:rsidRPr="00F83386">
        <w:rPr>
          <w:rFonts w:ascii="Calibri" w:hAnsi="Calibri" w:cs="Calibri"/>
          <w:sz w:val="22"/>
          <w:szCs w:val="22"/>
        </w:rPr>
        <w:t>Approach to rental affordability – guiding principles</w:t>
      </w:r>
    </w:p>
    <w:bookmarkEnd w:id="0"/>
    <w:p w14:paraId="56A6B51C" w14:textId="77777777" w:rsidR="00150607" w:rsidRPr="00F77E97" w:rsidRDefault="00150607" w:rsidP="00943477">
      <w:pPr>
        <w:jc w:val="both"/>
        <w:rPr>
          <w:rFonts w:asciiTheme="minorHAnsi" w:hAnsiTheme="minorHAnsi" w:cstheme="minorHAnsi"/>
          <w:sz w:val="22"/>
          <w:szCs w:val="22"/>
        </w:rPr>
      </w:pPr>
    </w:p>
    <w:p w14:paraId="547EEA4F" w14:textId="3762E20D" w:rsidR="00150607" w:rsidRPr="00F77E97" w:rsidRDefault="00150607" w:rsidP="00943477">
      <w:pPr>
        <w:jc w:val="both"/>
        <w:rPr>
          <w:rFonts w:asciiTheme="minorHAnsi" w:hAnsiTheme="minorHAnsi" w:cstheme="minorHAnsi"/>
          <w:sz w:val="22"/>
          <w:szCs w:val="22"/>
        </w:rPr>
      </w:pPr>
      <w:r w:rsidRPr="00F77E97">
        <w:rPr>
          <w:rFonts w:asciiTheme="minorHAnsi" w:hAnsiTheme="minorHAnsi" w:cstheme="minorHAnsi"/>
          <w:sz w:val="22"/>
          <w:szCs w:val="22"/>
        </w:rPr>
        <w:t>WPI will:</w:t>
      </w:r>
    </w:p>
    <w:p w14:paraId="23EFAB33" w14:textId="67AF59C8" w:rsidR="00150607" w:rsidRPr="00F77E97" w:rsidRDefault="003B3950" w:rsidP="00943477">
      <w:pPr>
        <w:pStyle w:val="ListParagraph"/>
        <w:numPr>
          <w:ilvl w:val="0"/>
          <w:numId w:val="5"/>
        </w:numPr>
        <w:contextualSpacing/>
        <w:jc w:val="both"/>
        <w:rPr>
          <w:rFonts w:asciiTheme="minorHAnsi" w:hAnsiTheme="minorHAnsi" w:cstheme="minorHAnsi"/>
          <w:sz w:val="22"/>
          <w:szCs w:val="22"/>
        </w:rPr>
      </w:pPr>
      <w:r>
        <w:rPr>
          <w:rFonts w:asciiTheme="minorHAnsi" w:hAnsiTheme="minorHAnsi" w:cstheme="minorHAnsi"/>
          <w:sz w:val="22"/>
          <w:szCs w:val="22"/>
        </w:rPr>
        <w:t>S</w:t>
      </w:r>
      <w:r w:rsidR="00150607" w:rsidRPr="00F77E97">
        <w:rPr>
          <w:rFonts w:asciiTheme="minorHAnsi" w:hAnsiTheme="minorHAnsi" w:cstheme="minorHAnsi"/>
          <w:sz w:val="22"/>
          <w:szCs w:val="22"/>
        </w:rPr>
        <w:t>et rent in accordance with established affordability benchmarks;</w:t>
      </w:r>
    </w:p>
    <w:p w14:paraId="3C87767B" w14:textId="1E522A3A" w:rsidR="00150607" w:rsidRPr="00F77E97" w:rsidRDefault="003B3950" w:rsidP="00943477">
      <w:pPr>
        <w:pStyle w:val="ListParagraph"/>
        <w:numPr>
          <w:ilvl w:val="0"/>
          <w:numId w:val="5"/>
        </w:numPr>
        <w:contextualSpacing/>
        <w:jc w:val="both"/>
        <w:rPr>
          <w:rFonts w:asciiTheme="minorHAnsi" w:hAnsiTheme="minorHAnsi" w:cstheme="minorHAnsi"/>
          <w:sz w:val="22"/>
          <w:szCs w:val="22"/>
        </w:rPr>
      </w:pPr>
      <w:r>
        <w:rPr>
          <w:rFonts w:asciiTheme="minorHAnsi" w:hAnsiTheme="minorHAnsi" w:cstheme="minorHAnsi"/>
          <w:sz w:val="22"/>
          <w:szCs w:val="22"/>
        </w:rPr>
        <w:t>C</w:t>
      </w:r>
      <w:r w:rsidR="00150607" w:rsidRPr="00F77E97">
        <w:rPr>
          <w:rFonts w:asciiTheme="minorHAnsi" w:hAnsiTheme="minorHAnsi" w:cstheme="minorHAnsi"/>
          <w:sz w:val="22"/>
          <w:szCs w:val="22"/>
        </w:rPr>
        <w:t xml:space="preserve">ommunicate clearly, in a variety of formats, to applicants and </w:t>
      </w:r>
      <w:r w:rsidR="00150607">
        <w:rPr>
          <w:rFonts w:asciiTheme="minorHAnsi" w:hAnsiTheme="minorHAnsi" w:cstheme="minorHAnsi"/>
          <w:sz w:val="22"/>
          <w:szCs w:val="22"/>
        </w:rPr>
        <w:t>renters</w:t>
      </w:r>
      <w:r w:rsidR="00150607" w:rsidRPr="00F77E97">
        <w:rPr>
          <w:rFonts w:asciiTheme="minorHAnsi" w:hAnsiTheme="minorHAnsi" w:cstheme="minorHAnsi"/>
          <w:sz w:val="22"/>
          <w:szCs w:val="22"/>
        </w:rPr>
        <w:t xml:space="preserve"> as to how WPI sets rent, assesses </w:t>
      </w:r>
      <w:r w:rsidR="002035DF" w:rsidRPr="00F77E97">
        <w:rPr>
          <w:rFonts w:asciiTheme="minorHAnsi" w:hAnsiTheme="minorHAnsi" w:cstheme="minorHAnsi"/>
          <w:sz w:val="22"/>
          <w:szCs w:val="22"/>
        </w:rPr>
        <w:t>affordability,</w:t>
      </w:r>
      <w:r w:rsidR="00150607" w:rsidRPr="00F77E97">
        <w:rPr>
          <w:rFonts w:asciiTheme="minorHAnsi" w:hAnsiTheme="minorHAnsi" w:cstheme="minorHAnsi"/>
          <w:sz w:val="22"/>
          <w:szCs w:val="22"/>
        </w:rPr>
        <w:t xml:space="preserve"> and review</w:t>
      </w:r>
      <w:r w:rsidR="002035DF">
        <w:rPr>
          <w:rFonts w:asciiTheme="minorHAnsi" w:hAnsiTheme="minorHAnsi" w:cstheme="minorHAnsi"/>
          <w:sz w:val="22"/>
          <w:szCs w:val="22"/>
        </w:rPr>
        <w:t>s</w:t>
      </w:r>
      <w:r w:rsidR="00150607" w:rsidRPr="00F77E97">
        <w:rPr>
          <w:rFonts w:asciiTheme="minorHAnsi" w:hAnsiTheme="minorHAnsi" w:cstheme="minorHAnsi"/>
          <w:sz w:val="22"/>
          <w:szCs w:val="22"/>
        </w:rPr>
        <w:t xml:space="preserve"> rent</w:t>
      </w:r>
      <w:r w:rsidR="00150607">
        <w:rPr>
          <w:rFonts w:asciiTheme="minorHAnsi" w:hAnsiTheme="minorHAnsi" w:cstheme="minorHAnsi"/>
          <w:sz w:val="22"/>
          <w:szCs w:val="22"/>
        </w:rPr>
        <w:t>s</w:t>
      </w:r>
      <w:r w:rsidR="00150607" w:rsidRPr="00F77E97">
        <w:rPr>
          <w:rFonts w:asciiTheme="minorHAnsi" w:hAnsiTheme="minorHAnsi" w:cstheme="minorHAnsi"/>
          <w:sz w:val="22"/>
          <w:szCs w:val="22"/>
        </w:rPr>
        <w:t xml:space="preserve">; </w:t>
      </w:r>
    </w:p>
    <w:p w14:paraId="33D913F1" w14:textId="6E2424EE" w:rsidR="00150607" w:rsidRPr="00F77E97" w:rsidRDefault="003B3950" w:rsidP="00943477">
      <w:pPr>
        <w:pStyle w:val="ListParagraph"/>
        <w:numPr>
          <w:ilvl w:val="0"/>
          <w:numId w:val="5"/>
        </w:numPr>
        <w:contextualSpacing/>
        <w:jc w:val="both"/>
        <w:rPr>
          <w:rFonts w:asciiTheme="minorHAnsi" w:hAnsiTheme="minorHAnsi" w:cstheme="minorHAnsi"/>
          <w:sz w:val="22"/>
          <w:szCs w:val="22"/>
        </w:rPr>
      </w:pPr>
      <w:r>
        <w:rPr>
          <w:rFonts w:asciiTheme="minorHAnsi" w:hAnsiTheme="minorHAnsi" w:cstheme="minorHAnsi"/>
          <w:sz w:val="22"/>
          <w:szCs w:val="22"/>
        </w:rPr>
        <w:t>R</w:t>
      </w:r>
      <w:r w:rsidR="00150607" w:rsidRPr="00F77E97">
        <w:rPr>
          <w:rFonts w:asciiTheme="minorHAnsi" w:hAnsiTheme="minorHAnsi" w:cstheme="minorHAnsi"/>
          <w:sz w:val="22"/>
          <w:szCs w:val="22"/>
        </w:rPr>
        <w:t>espond appropriately to changes in household circumstances to prevent undue hardship; and</w:t>
      </w:r>
    </w:p>
    <w:p w14:paraId="29DED46D" w14:textId="3A4C2E32" w:rsidR="00150607" w:rsidRPr="00F77E97" w:rsidRDefault="003B3950" w:rsidP="00943477">
      <w:pPr>
        <w:pStyle w:val="ListParagraph"/>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C</w:t>
      </w:r>
      <w:r w:rsidR="00150607" w:rsidRPr="00F77E97">
        <w:rPr>
          <w:rFonts w:asciiTheme="minorHAnsi" w:hAnsiTheme="minorHAnsi" w:cstheme="minorHAnsi"/>
          <w:sz w:val="22"/>
          <w:szCs w:val="22"/>
        </w:rPr>
        <w:t xml:space="preserve">omply with its contractual, legal, regulatory and policy obligations relating to </w:t>
      </w:r>
      <w:r w:rsidR="00150607">
        <w:rPr>
          <w:rFonts w:asciiTheme="minorHAnsi" w:hAnsiTheme="minorHAnsi" w:cstheme="minorHAnsi"/>
          <w:sz w:val="22"/>
          <w:szCs w:val="22"/>
        </w:rPr>
        <w:t xml:space="preserve">rent </w:t>
      </w:r>
      <w:r w:rsidR="00150607" w:rsidRPr="00F77E97">
        <w:rPr>
          <w:rFonts w:asciiTheme="minorHAnsi" w:hAnsiTheme="minorHAnsi" w:cstheme="minorHAnsi"/>
          <w:sz w:val="22"/>
          <w:szCs w:val="22"/>
        </w:rPr>
        <w:t>affordability.</w:t>
      </w:r>
    </w:p>
    <w:p w14:paraId="45E43528" w14:textId="5A86E2A3" w:rsidR="00150607" w:rsidRDefault="00150607" w:rsidP="00943477">
      <w:pPr>
        <w:pStyle w:val="Numpara1"/>
        <w:numPr>
          <w:ilvl w:val="0"/>
          <w:numId w:val="0"/>
        </w:numPr>
        <w:spacing w:before="0"/>
        <w:jc w:val="both"/>
        <w:rPr>
          <w:rFonts w:ascii="Calibri" w:hAnsi="Calibri" w:cs="Calibri"/>
          <w:sz w:val="22"/>
          <w:lang w:eastAsia="en-GB"/>
        </w:rPr>
      </w:pPr>
    </w:p>
    <w:p w14:paraId="03B169AD" w14:textId="0C31642E" w:rsidR="00177FFC" w:rsidRPr="00262967" w:rsidRDefault="00196CCA" w:rsidP="00943477">
      <w:pPr>
        <w:pStyle w:val="Numpara1"/>
        <w:numPr>
          <w:ilvl w:val="1"/>
          <w:numId w:val="2"/>
        </w:numPr>
        <w:spacing w:before="0"/>
        <w:jc w:val="both"/>
        <w:rPr>
          <w:rFonts w:ascii="Calibri" w:hAnsi="Calibri" w:cs="Calibri"/>
          <w:b/>
          <w:bCs/>
          <w:sz w:val="22"/>
          <w:lang w:eastAsia="en-GB"/>
        </w:rPr>
      </w:pPr>
      <w:r>
        <w:rPr>
          <w:rFonts w:ascii="Calibri" w:hAnsi="Calibri" w:cs="Calibri"/>
          <w:b/>
          <w:bCs/>
          <w:sz w:val="22"/>
          <w:lang w:eastAsia="en-GB"/>
        </w:rPr>
        <w:t>M</w:t>
      </w:r>
      <w:r w:rsidR="00177FFC" w:rsidRPr="00262967">
        <w:rPr>
          <w:rFonts w:ascii="Calibri" w:hAnsi="Calibri" w:cs="Calibri"/>
          <w:b/>
          <w:bCs/>
          <w:sz w:val="22"/>
          <w:lang w:eastAsia="en-GB"/>
        </w:rPr>
        <w:t>arket rent</w:t>
      </w:r>
    </w:p>
    <w:p w14:paraId="264F2EBA" w14:textId="3276F09F" w:rsidR="00177FFC" w:rsidRDefault="0090170E" w:rsidP="00A85EAF">
      <w:pPr>
        <w:pStyle w:val="Numpara1"/>
        <w:numPr>
          <w:ilvl w:val="0"/>
          <w:numId w:val="0"/>
        </w:numPr>
        <w:spacing w:before="0"/>
        <w:jc w:val="both"/>
        <w:rPr>
          <w:rFonts w:ascii="Calibri" w:hAnsi="Calibri" w:cs="Calibri"/>
          <w:sz w:val="22"/>
          <w:lang w:eastAsia="en-GB"/>
        </w:rPr>
      </w:pPr>
      <w:r>
        <w:rPr>
          <w:rFonts w:ascii="Calibri" w:hAnsi="Calibri" w:cs="Calibri"/>
          <w:sz w:val="22"/>
          <w:lang w:eastAsia="en-GB"/>
        </w:rPr>
        <w:t xml:space="preserve">CAV </w:t>
      </w:r>
      <w:r w:rsidR="000A2F97">
        <w:rPr>
          <w:rFonts w:ascii="Calibri" w:hAnsi="Calibri" w:cs="Calibri"/>
          <w:sz w:val="22"/>
          <w:lang w:eastAsia="en-GB"/>
        </w:rPr>
        <w:t xml:space="preserve">market rent is </w:t>
      </w:r>
      <w:r>
        <w:rPr>
          <w:rFonts w:ascii="Calibri" w:hAnsi="Calibri" w:cs="Calibri"/>
          <w:sz w:val="22"/>
          <w:lang w:eastAsia="en-GB"/>
        </w:rPr>
        <w:t xml:space="preserve">determined every two years by:  </w:t>
      </w:r>
    </w:p>
    <w:p w14:paraId="34D9C6C3" w14:textId="614291A0" w:rsidR="0090170E" w:rsidRDefault="0090170E" w:rsidP="00943477">
      <w:pPr>
        <w:pStyle w:val="Numpara1"/>
        <w:numPr>
          <w:ilvl w:val="0"/>
          <w:numId w:val="7"/>
        </w:numPr>
        <w:spacing w:before="0"/>
        <w:jc w:val="both"/>
        <w:rPr>
          <w:rFonts w:ascii="Calibri" w:hAnsi="Calibri" w:cs="Calibri"/>
          <w:sz w:val="22"/>
          <w:lang w:eastAsia="en-GB"/>
        </w:rPr>
      </w:pPr>
      <w:r>
        <w:rPr>
          <w:rFonts w:ascii="Calibri" w:hAnsi="Calibri" w:cs="Calibri"/>
          <w:sz w:val="22"/>
          <w:lang w:eastAsia="en-GB"/>
        </w:rPr>
        <w:t>Comparison to rents charged by local real estate agen</w:t>
      </w:r>
      <w:r w:rsidR="007B2175">
        <w:rPr>
          <w:rFonts w:ascii="Calibri" w:hAnsi="Calibri" w:cs="Calibri"/>
          <w:sz w:val="22"/>
          <w:lang w:eastAsia="en-GB"/>
        </w:rPr>
        <w:t>ts</w:t>
      </w:r>
      <w:r>
        <w:rPr>
          <w:rFonts w:ascii="Calibri" w:hAnsi="Calibri" w:cs="Calibri"/>
          <w:sz w:val="22"/>
          <w:lang w:eastAsia="en-GB"/>
        </w:rPr>
        <w:t xml:space="preserve"> for a property of similar type, age, </w:t>
      </w:r>
      <w:proofErr w:type="gramStart"/>
      <w:r>
        <w:rPr>
          <w:rFonts w:ascii="Calibri" w:hAnsi="Calibri" w:cs="Calibri"/>
          <w:sz w:val="22"/>
          <w:lang w:eastAsia="en-GB"/>
        </w:rPr>
        <w:t>size</w:t>
      </w:r>
      <w:proofErr w:type="gramEnd"/>
      <w:r>
        <w:rPr>
          <w:rFonts w:ascii="Calibri" w:hAnsi="Calibri" w:cs="Calibri"/>
          <w:sz w:val="22"/>
          <w:lang w:eastAsia="en-GB"/>
        </w:rPr>
        <w:t xml:space="preserve"> and location</w:t>
      </w:r>
      <w:r w:rsidR="00502728">
        <w:rPr>
          <w:rFonts w:ascii="Calibri" w:hAnsi="Calibri" w:cs="Calibri"/>
          <w:sz w:val="22"/>
          <w:lang w:eastAsia="en-GB"/>
        </w:rPr>
        <w:t>;</w:t>
      </w:r>
    </w:p>
    <w:p w14:paraId="50B2F07B" w14:textId="723D2ABA" w:rsidR="00177FFC" w:rsidRDefault="0090170E" w:rsidP="00943477">
      <w:pPr>
        <w:pStyle w:val="Numpara1"/>
        <w:numPr>
          <w:ilvl w:val="0"/>
          <w:numId w:val="7"/>
        </w:numPr>
        <w:spacing w:before="0"/>
        <w:jc w:val="both"/>
        <w:rPr>
          <w:rFonts w:ascii="Calibri" w:hAnsi="Calibri" w:cs="Calibri"/>
          <w:sz w:val="22"/>
          <w:lang w:eastAsia="en-GB"/>
        </w:rPr>
      </w:pPr>
      <w:r>
        <w:rPr>
          <w:rFonts w:ascii="Calibri" w:hAnsi="Calibri" w:cs="Calibri"/>
          <w:sz w:val="22"/>
          <w:lang w:eastAsia="en-GB"/>
        </w:rPr>
        <w:t xml:space="preserve">Formal valuation </w:t>
      </w:r>
      <w:r w:rsidR="00177FFC">
        <w:rPr>
          <w:rFonts w:ascii="Calibri" w:hAnsi="Calibri" w:cs="Calibri"/>
          <w:sz w:val="22"/>
          <w:lang w:eastAsia="en-GB"/>
        </w:rPr>
        <w:t>by a qualified independent valuer</w:t>
      </w:r>
      <w:r w:rsidR="00502728">
        <w:rPr>
          <w:rFonts w:ascii="Calibri" w:hAnsi="Calibri" w:cs="Calibri"/>
          <w:sz w:val="22"/>
          <w:lang w:eastAsia="en-GB"/>
        </w:rPr>
        <w:t>; or</w:t>
      </w:r>
    </w:p>
    <w:p w14:paraId="4C76495B" w14:textId="0A44F4A1" w:rsidR="00177FFC" w:rsidRDefault="0090170E" w:rsidP="00943477">
      <w:pPr>
        <w:pStyle w:val="Numpara1"/>
        <w:numPr>
          <w:ilvl w:val="0"/>
          <w:numId w:val="7"/>
        </w:numPr>
        <w:spacing w:before="0"/>
        <w:jc w:val="both"/>
        <w:rPr>
          <w:rFonts w:ascii="Calibri" w:hAnsi="Calibri" w:cs="Calibri"/>
          <w:sz w:val="22"/>
          <w:lang w:eastAsia="en-GB"/>
        </w:rPr>
      </w:pPr>
      <w:r>
        <w:rPr>
          <w:rFonts w:ascii="Calibri" w:hAnsi="Calibri" w:cs="Calibri"/>
          <w:sz w:val="22"/>
          <w:lang w:eastAsia="en-GB"/>
        </w:rPr>
        <w:t>Us</w:t>
      </w:r>
      <w:r w:rsidR="007B2175">
        <w:rPr>
          <w:rFonts w:ascii="Calibri" w:hAnsi="Calibri" w:cs="Calibri"/>
          <w:sz w:val="22"/>
          <w:lang w:eastAsia="en-GB"/>
        </w:rPr>
        <w:t>e</w:t>
      </w:r>
      <w:r>
        <w:rPr>
          <w:rFonts w:ascii="Calibri" w:hAnsi="Calibri" w:cs="Calibri"/>
          <w:sz w:val="22"/>
          <w:lang w:eastAsia="en-GB"/>
        </w:rPr>
        <w:t xml:space="preserve"> of DFFH property rent </w:t>
      </w:r>
      <w:r w:rsidR="00DA585A">
        <w:rPr>
          <w:rFonts w:ascii="Calibri" w:hAnsi="Calibri" w:cs="Calibri"/>
          <w:sz w:val="22"/>
          <w:lang w:eastAsia="en-GB"/>
        </w:rPr>
        <w:t xml:space="preserve">as </w:t>
      </w:r>
      <w:r>
        <w:rPr>
          <w:rFonts w:ascii="Calibri" w:hAnsi="Calibri" w:cs="Calibri"/>
          <w:sz w:val="22"/>
          <w:lang w:eastAsia="en-GB"/>
        </w:rPr>
        <w:t>valued by DFFH</w:t>
      </w:r>
      <w:r w:rsidR="007B2175">
        <w:rPr>
          <w:rFonts w:ascii="Calibri" w:hAnsi="Calibri" w:cs="Calibri"/>
          <w:sz w:val="22"/>
          <w:lang w:eastAsia="en-GB"/>
        </w:rPr>
        <w:t xml:space="preserve">. One of the other two methods should also be used if there are doubts about accuracy. </w:t>
      </w:r>
      <w:r w:rsidR="00177FFC">
        <w:rPr>
          <w:rFonts w:ascii="Calibri" w:hAnsi="Calibri" w:cs="Calibri"/>
          <w:sz w:val="22"/>
          <w:lang w:eastAsia="en-GB"/>
        </w:rPr>
        <w:t xml:space="preserve"> </w:t>
      </w:r>
    </w:p>
    <w:p w14:paraId="223FD2DD" w14:textId="77777777" w:rsidR="00295489" w:rsidRDefault="00295489" w:rsidP="00943477">
      <w:pPr>
        <w:pStyle w:val="Numpara1"/>
        <w:numPr>
          <w:ilvl w:val="0"/>
          <w:numId w:val="0"/>
        </w:numPr>
        <w:spacing w:before="0"/>
        <w:jc w:val="both"/>
        <w:rPr>
          <w:rFonts w:ascii="Calibri" w:hAnsi="Calibri" w:cs="Calibri"/>
          <w:sz w:val="22"/>
          <w:lang w:eastAsia="en-GB"/>
        </w:rPr>
      </w:pPr>
    </w:p>
    <w:p w14:paraId="5479C1E1" w14:textId="792D04BC" w:rsidR="003570BA" w:rsidRDefault="00295489" w:rsidP="00943477">
      <w:pPr>
        <w:pStyle w:val="Numpara1"/>
        <w:numPr>
          <w:ilvl w:val="0"/>
          <w:numId w:val="0"/>
        </w:numPr>
        <w:spacing w:before="0"/>
        <w:jc w:val="both"/>
        <w:rPr>
          <w:rFonts w:ascii="Calibri" w:hAnsi="Calibri" w:cs="Calibri"/>
          <w:sz w:val="22"/>
          <w:lang w:eastAsia="en-GB"/>
        </w:rPr>
      </w:pPr>
      <w:r>
        <w:rPr>
          <w:rFonts w:ascii="Calibri" w:hAnsi="Calibri" w:cs="Calibri"/>
          <w:sz w:val="22"/>
          <w:lang w:eastAsia="en-GB"/>
        </w:rPr>
        <w:t xml:space="preserve">Any rents charged for any property must not be above </w:t>
      </w:r>
      <w:r w:rsidR="009E1F82">
        <w:rPr>
          <w:rFonts w:ascii="Calibri" w:hAnsi="Calibri" w:cs="Calibri"/>
          <w:sz w:val="22"/>
          <w:lang w:eastAsia="en-GB"/>
        </w:rPr>
        <w:t xml:space="preserve">the </w:t>
      </w:r>
      <w:r>
        <w:rPr>
          <w:rFonts w:ascii="Calibri" w:hAnsi="Calibri" w:cs="Calibri"/>
          <w:sz w:val="22"/>
          <w:lang w:eastAsia="en-GB"/>
        </w:rPr>
        <w:t xml:space="preserve">market rent. </w:t>
      </w:r>
    </w:p>
    <w:p w14:paraId="2EB37D3D" w14:textId="77777777" w:rsidR="00295489" w:rsidRDefault="00295489" w:rsidP="00943477">
      <w:pPr>
        <w:pStyle w:val="Numpara1"/>
        <w:numPr>
          <w:ilvl w:val="0"/>
          <w:numId w:val="0"/>
        </w:numPr>
        <w:spacing w:before="0"/>
        <w:jc w:val="both"/>
        <w:rPr>
          <w:rFonts w:ascii="Calibri" w:hAnsi="Calibri" w:cs="Calibri"/>
          <w:sz w:val="22"/>
          <w:lang w:eastAsia="en-GB"/>
        </w:rPr>
      </w:pPr>
    </w:p>
    <w:p w14:paraId="3CA220C1" w14:textId="3AB9BD6A" w:rsidR="003570BA" w:rsidRDefault="003570BA" w:rsidP="00943477">
      <w:pPr>
        <w:pStyle w:val="Numpara1"/>
        <w:numPr>
          <w:ilvl w:val="0"/>
          <w:numId w:val="0"/>
        </w:numPr>
        <w:spacing w:before="0"/>
        <w:jc w:val="both"/>
        <w:rPr>
          <w:rFonts w:ascii="Calibri" w:hAnsi="Calibri" w:cs="Calibri"/>
          <w:sz w:val="22"/>
          <w:lang w:eastAsia="en-GB"/>
        </w:rPr>
      </w:pPr>
      <w:r>
        <w:rPr>
          <w:rFonts w:ascii="Calibri" w:hAnsi="Calibri" w:cs="Calibri"/>
          <w:sz w:val="22"/>
          <w:lang w:eastAsia="en-GB"/>
        </w:rPr>
        <w:t xml:space="preserve">If the market rent </w:t>
      </w:r>
      <w:r w:rsidR="00262967">
        <w:rPr>
          <w:rFonts w:ascii="Calibri" w:hAnsi="Calibri" w:cs="Calibri"/>
          <w:sz w:val="22"/>
          <w:lang w:eastAsia="en-GB"/>
        </w:rPr>
        <w:t>changes</w:t>
      </w:r>
      <w:r>
        <w:rPr>
          <w:rFonts w:ascii="Calibri" w:hAnsi="Calibri" w:cs="Calibri"/>
          <w:sz w:val="22"/>
          <w:lang w:eastAsia="en-GB"/>
        </w:rPr>
        <w:t xml:space="preserve">, WPI will give renters at least 60 days written notice as required by the Residential </w:t>
      </w:r>
      <w:r w:rsidR="00262967">
        <w:rPr>
          <w:rFonts w:ascii="Calibri" w:hAnsi="Calibri" w:cs="Calibri"/>
          <w:sz w:val="22"/>
          <w:lang w:eastAsia="en-GB"/>
        </w:rPr>
        <w:t>Tenancies</w:t>
      </w:r>
      <w:r>
        <w:rPr>
          <w:rFonts w:ascii="Calibri" w:hAnsi="Calibri" w:cs="Calibri"/>
          <w:sz w:val="22"/>
          <w:lang w:eastAsia="en-GB"/>
        </w:rPr>
        <w:t xml:space="preserve"> A</w:t>
      </w:r>
      <w:r w:rsidR="00E16AB2">
        <w:rPr>
          <w:rFonts w:ascii="Calibri" w:hAnsi="Calibri" w:cs="Calibri"/>
          <w:sz w:val="22"/>
          <w:lang w:eastAsia="en-GB"/>
        </w:rPr>
        <w:t>ct</w:t>
      </w:r>
      <w:r>
        <w:rPr>
          <w:rFonts w:ascii="Calibri" w:hAnsi="Calibri" w:cs="Calibri"/>
          <w:sz w:val="22"/>
          <w:lang w:eastAsia="en-GB"/>
        </w:rPr>
        <w:t xml:space="preserve"> 1997 (RTA). If the market rent increases this notice will also include:</w:t>
      </w:r>
    </w:p>
    <w:p w14:paraId="120A7D78" w14:textId="4F1BA7FE" w:rsidR="003570BA" w:rsidRDefault="003570BA" w:rsidP="00943477">
      <w:pPr>
        <w:pStyle w:val="Numpara1"/>
        <w:numPr>
          <w:ilvl w:val="0"/>
          <w:numId w:val="8"/>
        </w:numPr>
        <w:spacing w:before="0"/>
        <w:jc w:val="both"/>
        <w:rPr>
          <w:rFonts w:ascii="Calibri" w:hAnsi="Calibri" w:cs="Calibri"/>
          <w:sz w:val="22"/>
          <w:lang w:eastAsia="en-GB"/>
        </w:rPr>
      </w:pPr>
      <w:r>
        <w:rPr>
          <w:rFonts w:ascii="Calibri" w:hAnsi="Calibri" w:cs="Calibri"/>
          <w:sz w:val="22"/>
          <w:lang w:eastAsia="en-GB"/>
        </w:rPr>
        <w:t>the amount of increase</w:t>
      </w:r>
      <w:r w:rsidR="009E1F82">
        <w:rPr>
          <w:rFonts w:ascii="Calibri" w:hAnsi="Calibri" w:cs="Calibri"/>
          <w:sz w:val="22"/>
          <w:lang w:eastAsia="en-GB"/>
        </w:rPr>
        <w:t>;</w:t>
      </w:r>
    </w:p>
    <w:p w14:paraId="20769E66" w14:textId="78B11C6A" w:rsidR="003570BA" w:rsidRDefault="003570BA" w:rsidP="00943477">
      <w:pPr>
        <w:pStyle w:val="Numpara1"/>
        <w:numPr>
          <w:ilvl w:val="0"/>
          <w:numId w:val="8"/>
        </w:numPr>
        <w:spacing w:before="0"/>
        <w:jc w:val="both"/>
        <w:rPr>
          <w:rFonts w:ascii="Calibri" w:hAnsi="Calibri" w:cs="Calibri"/>
          <w:sz w:val="22"/>
          <w:lang w:eastAsia="en-GB"/>
        </w:rPr>
      </w:pPr>
      <w:r>
        <w:rPr>
          <w:rFonts w:ascii="Calibri" w:hAnsi="Calibri" w:cs="Calibri"/>
          <w:sz w:val="22"/>
          <w:lang w:eastAsia="en-GB"/>
        </w:rPr>
        <w:t xml:space="preserve">the </w:t>
      </w:r>
      <w:r w:rsidR="00262967">
        <w:rPr>
          <w:rFonts w:ascii="Calibri" w:hAnsi="Calibri" w:cs="Calibri"/>
          <w:sz w:val="22"/>
          <w:lang w:eastAsia="en-GB"/>
        </w:rPr>
        <w:t>method</w:t>
      </w:r>
      <w:r>
        <w:rPr>
          <w:rFonts w:ascii="Calibri" w:hAnsi="Calibri" w:cs="Calibri"/>
          <w:sz w:val="22"/>
          <w:lang w:eastAsia="en-GB"/>
        </w:rPr>
        <w:t xml:space="preserve"> </w:t>
      </w:r>
      <w:r w:rsidR="009E1F82">
        <w:rPr>
          <w:rFonts w:ascii="Calibri" w:hAnsi="Calibri" w:cs="Calibri"/>
          <w:sz w:val="22"/>
          <w:lang w:eastAsia="en-GB"/>
        </w:rPr>
        <w:t xml:space="preserve">adopted to calculate </w:t>
      </w:r>
      <w:r>
        <w:rPr>
          <w:rFonts w:ascii="Calibri" w:hAnsi="Calibri" w:cs="Calibri"/>
          <w:sz w:val="22"/>
          <w:lang w:eastAsia="en-GB"/>
        </w:rPr>
        <w:t>the rent increase</w:t>
      </w:r>
      <w:r w:rsidR="009E1F82">
        <w:rPr>
          <w:rFonts w:ascii="Calibri" w:hAnsi="Calibri" w:cs="Calibri"/>
          <w:sz w:val="22"/>
          <w:lang w:eastAsia="en-GB"/>
        </w:rPr>
        <w:t>; and</w:t>
      </w:r>
    </w:p>
    <w:p w14:paraId="568F6CC1" w14:textId="3D9C080B" w:rsidR="003570BA" w:rsidRDefault="00262967" w:rsidP="00943477">
      <w:pPr>
        <w:pStyle w:val="Numpara1"/>
        <w:numPr>
          <w:ilvl w:val="0"/>
          <w:numId w:val="8"/>
        </w:numPr>
        <w:spacing w:before="0"/>
        <w:jc w:val="both"/>
        <w:rPr>
          <w:rFonts w:ascii="Calibri" w:hAnsi="Calibri" w:cs="Calibri"/>
          <w:sz w:val="22"/>
          <w:lang w:eastAsia="en-GB"/>
        </w:rPr>
      </w:pPr>
      <w:r>
        <w:rPr>
          <w:rFonts w:ascii="Calibri" w:hAnsi="Calibri" w:cs="Calibri"/>
          <w:sz w:val="22"/>
          <w:lang w:eastAsia="en-GB"/>
        </w:rPr>
        <w:t xml:space="preserve">a statement informing the renter </w:t>
      </w:r>
      <w:r w:rsidR="009E1F82">
        <w:rPr>
          <w:rFonts w:ascii="Calibri" w:hAnsi="Calibri" w:cs="Calibri"/>
          <w:sz w:val="22"/>
          <w:lang w:eastAsia="en-GB"/>
        </w:rPr>
        <w:t>of</w:t>
      </w:r>
      <w:r>
        <w:rPr>
          <w:rFonts w:ascii="Calibri" w:hAnsi="Calibri" w:cs="Calibri"/>
          <w:sz w:val="22"/>
          <w:lang w:eastAsia="en-GB"/>
        </w:rPr>
        <w:t xml:space="preserve"> their right to apply, within 30 days </w:t>
      </w:r>
      <w:r w:rsidR="009E1F82">
        <w:rPr>
          <w:rFonts w:ascii="Calibri" w:hAnsi="Calibri" w:cs="Calibri"/>
          <w:sz w:val="22"/>
          <w:lang w:eastAsia="en-GB"/>
        </w:rPr>
        <w:t xml:space="preserve">of notice of the increase </w:t>
      </w:r>
      <w:r>
        <w:rPr>
          <w:rFonts w:ascii="Calibri" w:hAnsi="Calibri" w:cs="Calibri"/>
          <w:sz w:val="22"/>
          <w:lang w:eastAsia="en-GB"/>
        </w:rPr>
        <w:t>to the director of Consumer Affairs Victoria to investigate and report on the proposed market rent.</w:t>
      </w:r>
    </w:p>
    <w:p w14:paraId="45849CAA" w14:textId="0B7AF7F5" w:rsidR="00262967" w:rsidRDefault="00262967" w:rsidP="00943477">
      <w:pPr>
        <w:pStyle w:val="Numpara1"/>
        <w:numPr>
          <w:ilvl w:val="0"/>
          <w:numId w:val="0"/>
        </w:numPr>
        <w:spacing w:before="0"/>
        <w:ind w:left="851" w:hanging="851"/>
        <w:jc w:val="both"/>
        <w:rPr>
          <w:rFonts w:ascii="Calibri" w:hAnsi="Calibri" w:cs="Calibri"/>
          <w:sz w:val="22"/>
          <w:lang w:eastAsia="en-GB"/>
        </w:rPr>
      </w:pPr>
    </w:p>
    <w:p w14:paraId="07872F73" w14:textId="41D9E35E" w:rsidR="00262967" w:rsidRDefault="00262967" w:rsidP="00943477">
      <w:pPr>
        <w:jc w:val="both"/>
        <w:rPr>
          <w:rFonts w:asciiTheme="minorHAnsi" w:hAnsiTheme="minorHAnsi" w:cstheme="minorHAnsi"/>
          <w:sz w:val="22"/>
          <w:szCs w:val="22"/>
          <w:lang w:eastAsia="en-GB"/>
        </w:rPr>
      </w:pPr>
      <w:r w:rsidRPr="00262967">
        <w:rPr>
          <w:rFonts w:asciiTheme="minorHAnsi" w:hAnsiTheme="minorHAnsi" w:cstheme="minorHAnsi"/>
          <w:sz w:val="22"/>
          <w:szCs w:val="22"/>
          <w:lang w:eastAsia="en-GB"/>
        </w:rPr>
        <w:lastRenderedPageBreak/>
        <w:t xml:space="preserve">If the market rent decreases, WPI will also re-assess the rental rebate and advise </w:t>
      </w:r>
      <w:r w:rsidR="009E1F82">
        <w:rPr>
          <w:rFonts w:asciiTheme="minorHAnsi" w:hAnsiTheme="minorHAnsi" w:cstheme="minorHAnsi"/>
          <w:sz w:val="22"/>
          <w:szCs w:val="22"/>
          <w:lang w:eastAsia="en-GB"/>
        </w:rPr>
        <w:t xml:space="preserve">the </w:t>
      </w:r>
      <w:r w:rsidRPr="00262967">
        <w:rPr>
          <w:rFonts w:asciiTheme="minorHAnsi" w:hAnsiTheme="minorHAnsi" w:cstheme="minorHAnsi"/>
          <w:sz w:val="22"/>
          <w:szCs w:val="22"/>
          <w:lang w:eastAsia="en-GB"/>
        </w:rPr>
        <w:t>renter of any change to the week</w:t>
      </w:r>
      <w:r w:rsidR="009E1F82">
        <w:rPr>
          <w:rFonts w:asciiTheme="minorHAnsi" w:hAnsiTheme="minorHAnsi" w:cstheme="minorHAnsi"/>
          <w:sz w:val="22"/>
          <w:szCs w:val="22"/>
          <w:lang w:eastAsia="en-GB"/>
        </w:rPr>
        <w:t>ly</w:t>
      </w:r>
      <w:r w:rsidRPr="00262967">
        <w:rPr>
          <w:rFonts w:asciiTheme="minorHAnsi" w:hAnsiTheme="minorHAnsi" w:cstheme="minorHAnsi"/>
          <w:sz w:val="22"/>
          <w:szCs w:val="22"/>
          <w:lang w:eastAsia="en-GB"/>
        </w:rPr>
        <w:t xml:space="preserve"> rent payment amount.</w:t>
      </w:r>
    </w:p>
    <w:p w14:paraId="641523F9" w14:textId="77777777" w:rsidR="002D63FA" w:rsidRDefault="002D63FA" w:rsidP="00943477">
      <w:pPr>
        <w:jc w:val="both"/>
        <w:rPr>
          <w:rFonts w:asciiTheme="minorHAnsi" w:hAnsiTheme="minorHAnsi" w:cstheme="minorHAnsi"/>
          <w:sz w:val="22"/>
          <w:szCs w:val="22"/>
          <w:lang w:eastAsia="en-GB"/>
        </w:rPr>
      </w:pPr>
    </w:p>
    <w:p w14:paraId="57CA35FC" w14:textId="562D6C5B" w:rsidR="00262967" w:rsidRPr="00262967" w:rsidRDefault="00262967" w:rsidP="00943477">
      <w:pPr>
        <w:pStyle w:val="ListParagraph"/>
        <w:numPr>
          <w:ilvl w:val="1"/>
          <w:numId w:val="2"/>
        </w:numPr>
        <w:jc w:val="both"/>
        <w:rPr>
          <w:rFonts w:asciiTheme="minorHAnsi" w:hAnsiTheme="minorHAnsi" w:cstheme="minorHAnsi"/>
          <w:b/>
          <w:bCs/>
          <w:sz w:val="22"/>
          <w:szCs w:val="22"/>
          <w:lang w:eastAsia="en-GB"/>
        </w:rPr>
      </w:pPr>
      <w:r>
        <w:rPr>
          <w:rFonts w:asciiTheme="minorHAnsi" w:hAnsiTheme="minorHAnsi" w:cstheme="minorHAnsi"/>
          <w:b/>
          <w:bCs/>
          <w:sz w:val="22"/>
          <w:szCs w:val="22"/>
          <w:lang w:eastAsia="en-GB"/>
        </w:rPr>
        <w:t>D</w:t>
      </w:r>
      <w:r w:rsidRPr="00262967">
        <w:rPr>
          <w:rFonts w:asciiTheme="minorHAnsi" w:hAnsiTheme="minorHAnsi" w:cstheme="minorHAnsi"/>
          <w:b/>
          <w:bCs/>
          <w:sz w:val="22"/>
          <w:szCs w:val="22"/>
          <w:lang w:eastAsia="en-GB"/>
        </w:rPr>
        <w:t xml:space="preserve">iscounted market rent </w:t>
      </w:r>
    </w:p>
    <w:p w14:paraId="19A9EA91" w14:textId="781CF456" w:rsidR="00262967" w:rsidRDefault="00262967" w:rsidP="0094347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WPI will charge up to </w:t>
      </w:r>
      <w:r w:rsidR="00FB75B2">
        <w:rPr>
          <w:rFonts w:asciiTheme="minorHAnsi" w:hAnsiTheme="minorHAnsi" w:cstheme="minorHAnsi"/>
          <w:sz w:val="22"/>
          <w:szCs w:val="22"/>
          <w:lang w:eastAsia="en-GB"/>
        </w:rPr>
        <w:t xml:space="preserve">a </w:t>
      </w:r>
      <w:r>
        <w:rPr>
          <w:rFonts w:asciiTheme="minorHAnsi" w:hAnsiTheme="minorHAnsi" w:cstheme="minorHAnsi"/>
          <w:sz w:val="22"/>
          <w:szCs w:val="22"/>
          <w:lang w:eastAsia="en-GB"/>
        </w:rPr>
        <w:t xml:space="preserve">maximum of 74.99% of market rent, to ensure we stay </w:t>
      </w:r>
      <w:r w:rsidRPr="00F46AF3">
        <w:rPr>
          <w:rFonts w:asciiTheme="minorHAnsi" w:hAnsiTheme="minorHAnsi" w:cstheme="minorHAnsi"/>
          <w:sz w:val="22"/>
          <w:szCs w:val="22"/>
          <w:lang w:eastAsia="en-GB"/>
        </w:rPr>
        <w:t>with</w:t>
      </w:r>
      <w:r w:rsidR="00F46AF3" w:rsidRPr="00F46AF3">
        <w:rPr>
          <w:rFonts w:asciiTheme="minorHAnsi" w:hAnsiTheme="minorHAnsi" w:cstheme="minorHAnsi"/>
          <w:sz w:val="22"/>
          <w:szCs w:val="22"/>
          <w:lang w:eastAsia="en-GB"/>
        </w:rPr>
        <w:t xml:space="preserve">in our </w:t>
      </w:r>
      <w:r>
        <w:rPr>
          <w:rFonts w:asciiTheme="minorHAnsi" w:hAnsiTheme="minorHAnsi" w:cstheme="minorHAnsi"/>
          <w:sz w:val="22"/>
          <w:szCs w:val="22"/>
          <w:lang w:eastAsia="en-GB"/>
        </w:rPr>
        <w:t xml:space="preserve">contractual and legal obligations </w:t>
      </w:r>
      <w:r w:rsidR="00625E12">
        <w:rPr>
          <w:rFonts w:asciiTheme="minorHAnsi" w:hAnsiTheme="minorHAnsi" w:cstheme="minorHAnsi"/>
          <w:sz w:val="22"/>
          <w:szCs w:val="22"/>
          <w:lang w:eastAsia="en-GB"/>
        </w:rPr>
        <w:t xml:space="preserve">to provide homes at </w:t>
      </w:r>
      <w:r>
        <w:rPr>
          <w:rFonts w:asciiTheme="minorHAnsi" w:hAnsiTheme="minorHAnsi" w:cstheme="minorHAnsi"/>
          <w:sz w:val="22"/>
          <w:szCs w:val="22"/>
          <w:lang w:eastAsia="en-GB"/>
        </w:rPr>
        <w:t>affordable rent</w:t>
      </w:r>
      <w:r w:rsidR="00625E12">
        <w:rPr>
          <w:rFonts w:asciiTheme="minorHAnsi" w:hAnsiTheme="minorHAnsi" w:cstheme="minorHAnsi"/>
          <w:sz w:val="22"/>
          <w:szCs w:val="22"/>
          <w:lang w:eastAsia="en-GB"/>
        </w:rPr>
        <w:t>s</w:t>
      </w:r>
      <w:r>
        <w:rPr>
          <w:rFonts w:asciiTheme="minorHAnsi" w:hAnsiTheme="minorHAnsi" w:cstheme="minorHAnsi"/>
          <w:sz w:val="22"/>
          <w:szCs w:val="22"/>
          <w:lang w:eastAsia="en-GB"/>
        </w:rPr>
        <w:t>.</w:t>
      </w:r>
    </w:p>
    <w:p w14:paraId="6ED32396" w14:textId="35091E84" w:rsidR="00262967" w:rsidRPr="006A432E" w:rsidRDefault="00262967" w:rsidP="00943477">
      <w:pPr>
        <w:jc w:val="both"/>
        <w:rPr>
          <w:rFonts w:asciiTheme="minorHAnsi" w:hAnsiTheme="minorHAnsi" w:cstheme="minorHAnsi"/>
          <w:b/>
          <w:bCs/>
          <w:sz w:val="22"/>
          <w:szCs w:val="22"/>
          <w:lang w:eastAsia="en-GB"/>
        </w:rPr>
      </w:pPr>
    </w:p>
    <w:p w14:paraId="39E46C85" w14:textId="0745BF6B" w:rsidR="00262967" w:rsidRPr="006A432E" w:rsidRDefault="00262967" w:rsidP="00943477">
      <w:pPr>
        <w:pStyle w:val="ListParagraph"/>
        <w:numPr>
          <w:ilvl w:val="1"/>
          <w:numId w:val="2"/>
        </w:numPr>
        <w:jc w:val="both"/>
        <w:rPr>
          <w:rFonts w:asciiTheme="minorHAnsi" w:hAnsiTheme="minorHAnsi" w:cstheme="minorHAnsi"/>
          <w:b/>
          <w:bCs/>
          <w:sz w:val="22"/>
          <w:szCs w:val="22"/>
          <w:lang w:eastAsia="en-GB"/>
        </w:rPr>
      </w:pPr>
      <w:r w:rsidRPr="006A432E">
        <w:rPr>
          <w:rFonts w:asciiTheme="minorHAnsi" w:hAnsiTheme="minorHAnsi" w:cstheme="minorHAnsi"/>
          <w:b/>
          <w:bCs/>
          <w:sz w:val="22"/>
          <w:szCs w:val="22"/>
          <w:lang w:eastAsia="en-GB"/>
        </w:rPr>
        <w:t>Re</w:t>
      </w:r>
      <w:r w:rsidR="00E9611D">
        <w:rPr>
          <w:rFonts w:asciiTheme="minorHAnsi" w:hAnsiTheme="minorHAnsi" w:cstheme="minorHAnsi"/>
          <w:b/>
          <w:bCs/>
          <w:sz w:val="22"/>
          <w:szCs w:val="22"/>
          <w:lang w:eastAsia="en-GB"/>
        </w:rPr>
        <w:t>bated Rent</w:t>
      </w:r>
      <w:r w:rsidR="00DB5BD7">
        <w:rPr>
          <w:rFonts w:asciiTheme="minorHAnsi" w:hAnsiTheme="minorHAnsi" w:cstheme="minorHAnsi"/>
          <w:b/>
          <w:bCs/>
          <w:sz w:val="22"/>
          <w:szCs w:val="22"/>
          <w:lang w:eastAsia="en-GB"/>
        </w:rPr>
        <w:t xml:space="preserve"> </w:t>
      </w:r>
    </w:p>
    <w:p w14:paraId="2602DA4F" w14:textId="153A47B9" w:rsidR="00262967" w:rsidRDefault="00262967" w:rsidP="0094347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The rental rebate i</w:t>
      </w:r>
      <w:r w:rsidR="008E01D3">
        <w:rPr>
          <w:rFonts w:asciiTheme="minorHAnsi" w:hAnsiTheme="minorHAnsi" w:cstheme="minorHAnsi"/>
          <w:sz w:val="22"/>
          <w:szCs w:val="22"/>
          <w:lang w:eastAsia="en-GB"/>
        </w:rPr>
        <w:t>s</w:t>
      </w:r>
      <w:r>
        <w:rPr>
          <w:rFonts w:asciiTheme="minorHAnsi" w:hAnsiTheme="minorHAnsi" w:cstheme="minorHAnsi"/>
          <w:sz w:val="22"/>
          <w:szCs w:val="22"/>
          <w:lang w:eastAsia="en-GB"/>
        </w:rPr>
        <w:t xml:space="preserve"> the difference in the amount of rent paid by the renter and the market rent value of the property. This is the amount per week that WPI </w:t>
      </w:r>
      <w:r w:rsidR="006A432E">
        <w:rPr>
          <w:rFonts w:asciiTheme="minorHAnsi" w:hAnsiTheme="minorHAnsi" w:cstheme="minorHAnsi"/>
          <w:sz w:val="22"/>
          <w:szCs w:val="22"/>
          <w:lang w:eastAsia="en-GB"/>
        </w:rPr>
        <w:t>subsides</w:t>
      </w:r>
      <w:r>
        <w:rPr>
          <w:rFonts w:asciiTheme="minorHAnsi" w:hAnsiTheme="minorHAnsi" w:cstheme="minorHAnsi"/>
          <w:sz w:val="22"/>
          <w:szCs w:val="22"/>
          <w:lang w:eastAsia="en-GB"/>
        </w:rPr>
        <w:t xml:space="preserve"> </w:t>
      </w:r>
      <w:r w:rsidR="006A432E">
        <w:rPr>
          <w:rFonts w:asciiTheme="minorHAnsi" w:hAnsiTheme="minorHAnsi" w:cstheme="minorHAnsi"/>
          <w:sz w:val="22"/>
          <w:szCs w:val="22"/>
          <w:lang w:eastAsia="en-GB"/>
        </w:rPr>
        <w:t>rent and</w:t>
      </w:r>
      <w:r>
        <w:rPr>
          <w:rFonts w:asciiTheme="minorHAnsi" w:hAnsiTheme="minorHAnsi" w:cstheme="minorHAnsi"/>
          <w:sz w:val="22"/>
          <w:szCs w:val="22"/>
          <w:lang w:eastAsia="en-GB"/>
        </w:rPr>
        <w:t xml:space="preserve"> is based on the total household income.</w:t>
      </w:r>
    </w:p>
    <w:p w14:paraId="617432D3" w14:textId="77777777" w:rsidR="00262967" w:rsidRDefault="00262967" w:rsidP="00943477">
      <w:pPr>
        <w:jc w:val="both"/>
        <w:rPr>
          <w:rFonts w:asciiTheme="minorHAnsi" w:hAnsiTheme="minorHAnsi" w:cstheme="minorHAnsi"/>
          <w:sz w:val="22"/>
          <w:szCs w:val="22"/>
          <w:lang w:eastAsia="en-GB"/>
        </w:rPr>
      </w:pPr>
    </w:p>
    <w:p w14:paraId="30117CE6" w14:textId="7008C410" w:rsidR="00262967" w:rsidRDefault="006A432E" w:rsidP="0094347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The weekly rent payable is calculated using the below base calculation</w:t>
      </w:r>
      <w:r w:rsidR="008E01D3">
        <w:rPr>
          <w:rFonts w:asciiTheme="minorHAnsi" w:hAnsiTheme="minorHAnsi" w:cstheme="minorHAnsi"/>
          <w:sz w:val="22"/>
          <w:szCs w:val="22"/>
          <w:lang w:eastAsia="en-GB"/>
        </w:rPr>
        <w:t>:</w:t>
      </w:r>
    </w:p>
    <w:p w14:paraId="53ED3442" w14:textId="728B8638" w:rsidR="006A432E" w:rsidRDefault="006A432E" w:rsidP="00943477">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30% of assessable household income</w:t>
      </w:r>
      <w:r w:rsidR="0001350F">
        <w:rPr>
          <w:rFonts w:asciiTheme="minorHAnsi" w:hAnsiTheme="minorHAnsi" w:cstheme="minorHAnsi"/>
          <w:sz w:val="22"/>
          <w:szCs w:val="22"/>
          <w:lang w:eastAsia="en-GB"/>
        </w:rPr>
        <w:t>; and</w:t>
      </w:r>
    </w:p>
    <w:p w14:paraId="39883BB1" w14:textId="31EE1AA6" w:rsidR="006A432E" w:rsidRDefault="006A432E" w:rsidP="00943477">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15% family tax benefit and child support (if applicable)</w:t>
      </w:r>
      <w:r w:rsidR="0001350F">
        <w:rPr>
          <w:rFonts w:asciiTheme="minorHAnsi" w:hAnsiTheme="minorHAnsi" w:cstheme="minorHAnsi"/>
          <w:sz w:val="22"/>
          <w:szCs w:val="22"/>
          <w:lang w:eastAsia="en-GB"/>
        </w:rPr>
        <w:t>; and</w:t>
      </w:r>
    </w:p>
    <w:p w14:paraId="62D84486" w14:textId="57F3F61E" w:rsidR="006A432E" w:rsidRDefault="006A432E" w:rsidP="00943477">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100% </w:t>
      </w:r>
      <w:r w:rsidR="008E01D3">
        <w:rPr>
          <w:rFonts w:asciiTheme="minorHAnsi" w:hAnsiTheme="minorHAnsi" w:cstheme="minorHAnsi"/>
          <w:sz w:val="22"/>
          <w:szCs w:val="22"/>
          <w:lang w:eastAsia="en-GB"/>
        </w:rPr>
        <w:t>C</w:t>
      </w:r>
      <w:r>
        <w:rPr>
          <w:rFonts w:asciiTheme="minorHAnsi" w:hAnsiTheme="minorHAnsi" w:cstheme="minorHAnsi"/>
          <w:sz w:val="22"/>
          <w:szCs w:val="22"/>
          <w:lang w:eastAsia="en-GB"/>
        </w:rPr>
        <w:t xml:space="preserve">ommonwealth </w:t>
      </w:r>
      <w:r w:rsidR="008E01D3">
        <w:rPr>
          <w:rFonts w:asciiTheme="minorHAnsi" w:hAnsiTheme="minorHAnsi" w:cstheme="minorHAnsi"/>
          <w:sz w:val="22"/>
          <w:szCs w:val="22"/>
          <w:lang w:eastAsia="en-GB"/>
        </w:rPr>
        <w:t>R</w:t>
      </w:r>
      <w:r>
        <w:rPr>
          <w:rFonts w:asciiTheme="minorHAnsi" w:hAnsiTheme="minorHAnsi" w:cstheme="minorHAnsi"/>
          <w:sz w:val="22"/>
          <w:szCs w:val="22"/>
          <w:lang w:eastAsia="en-GB"/>
        </w:rPr>
        <w:t xml:space="preserve">ent </w:t>
      </w:r>
      <w:r w:rsidR="008E01D3">
        <w:rPr>
          <w:rFonts w:asciiTheme="minorHAnsi" w:hAnsiTheme="minorHAnsi" w:cstheme="minorHAnsi"/>
          <w:sz w:val="22"/>
          <w:szCs w:val="22"/>
          <w:lang w:eastAsia="en-GB"/>
        </w:rPr>
        <w:t>A</w:t>
      </w:r>
      <w:r>
        <w:rPr>
          <w:rFonts w:asciiTheme="minorHAnsi" w:hAnsiTheme="minorHAnsi" w:cstheme="minorHAnsi"/>
          <w:sz w:val="22"/>
          <w:szCs w:val="22"/>
          <w:lang w:eastAsia="en-GB"/>
        </w:rPr>
        <w:t>ssistance (if applicable)</w:t>
      </w:r>
      <w:r w:rsidR="0001350F">
        <w:rPr>
          <w:rFonts w:asciiTheme="minorHAnsi" w:hAnsiTheme="minorHAnsi" w:cstheme="minorHAnsi"/>
          <w:sz w:val="22"/>
          <w:szCs w:val="22"/>
          <w:lang w:eastAsia="en-GB"/>
        </w:rPr>
        <w:t>; and</w:t>
      </w:r>
    </w:p>
    <w:p w14:paraId="1B046484" w14:textId="4535B158" w:rsidR="006A432E" w:rsidRDefault="006A432E" w:rsidP="00943477">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Service charges (if applicable)</w:t>
      </w:r>
      <w:r w:rsidR="0001350F">
        <w:rPr>
          <w:rFonts w:asciiTheme="minorHAnsi" w:hAnsiTheme="minorHAnsi" w:cstheme="minorHAnsi"/>
          <w:sz w:val="22"/>
          <w:szCs w:val="22"/>
          <w:lang w:eastAsia="en-GB"/>
        </w:rPr>
        <w:t>.</w:t>
      </w:r>
    </w:p>
    <w:p w14:paraId="17B57DB7" w14:textId="0FCDDF12" w:rsidR="006A432E" w:rsidRDefault="006A432E" w:rsidP="00943477">
      <w:pPr>
        <w:jc w:val="both"/>
        <w:rPr>
          <w:rFonts w:asciiTheme="minorHAnsi" w:hAnsiTheme="minorHAnsi" w:cstheme="minorHAnsi"/>
          <w:sz w:val="22"/>
          <w:szCs w:val="22"/>
          <w:lang w:eastAsia="en-GB"/>
        </w:rPr>
      </w:pPr>
    </w:p>
    <w:p w14:paraId="67F36784" w14:textId="2EC0F6CE" w:rsidR="009E1F82" w:rsidRPr="009E1F82" w:rsidRDefault="009E1F82" w:rsidP="009E1F82">
      <w:pPr>
        <w:pStyle w:val="ListParagraph"/>
        <w:numPr>
          <w:ilvl w:val="1"/>
          <w:numId w:val="2"/>
        </w:numPr>
        <w:jc w:val="both"/>
        <w:rPr>
          <w:rFonts w:asciiTheme="minorHAnsi" w:hAnsiTheme="minorHAnsi" w:cstheme="minorHAnsi"/>
          <w:b/>
          <w:sz w:val="22"/>
          <w:szCs w:val="22"/>
          <w:lang w:eastAsia="en-GB"/>
        </w:rPr>
      </w:pPr>
      <w:r>
        <w:rPr>
          <w:rFonts w:asciiTheme="minorHAnsi" w:hAnsiTheme="minorHAnsi" w:cstheme="minorHAnsi"/>
          <w:b/>
          <w:sz w:val="22"/>
          <w:szCs w:val="22"/>
          <w:lang w:eastAsia="en-GB"/>
        </w:rPr>
        <w:t>Managed Properties</w:t>
      </w:r>
    </w:p>
    <w:p w14:paraId="5A40EABD" w14:textId="67788D3E" w:rsidR="006A432E" w:rsidRDefault="006A432E" w:rsidP="00943477">
      <w:pPr>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Where </w:t>
      </w:r>
      <w:r w:rsidRPr="006A432E">
        <w:rPr>
          <w:rFonts w:asciiTheme="minorHAnsi" w:hAnsiTheme="minorHAnsi" w:cstheme="minorHAnsi"/>
          <w:sz w:val="22"/>
          <w:szCs w:val="22"/>
          <w:lang w:eastAsia="en-GB"/>
        </w:rPr>
        <w:t>WPI</w:t>
      </w:r>
      <w:r>
        <w:rPr>
          <w:rFonts w:asciiTheme="minorHAnsi" w:hAnsiTheme="minorHAnsi" w:cstheme="minorHAnsi"/>
          <w:sz w:val="22"/>
          <w:szCs w:val="22"/>
          <w:lang w:eastAsia="en-GB"/>
        </w:rPr>
        <w:t xml:space="preserve"> manages properties on behalf of other entities, rent is charged in</w:t>
      </w:r>
      <w:r w:rsidR="009E1F82">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line with the respective management agreements</w:t>
      </w:r>
      <w:r w:rsidR="009E1F82">
        <w:rPr>
          <w:rFonts w:asciiTheme="minorHAnsi" w:hAnsiTheme="minorHAnsi" w:cstheme="minorHAnsi"/>
          <w:sz w:val="22"/>
          <w:szCs w:val="22"/>
          <w:lang w:eastAsia="en-GB"/>
        </w:rPr>
        <w:t xml:space="preserve"> WPI has entered into with the relevant entity</w:t>
      </w:r>
      <w:r w:rsidR="00050CE4">
        <w:rPr>
          <w:rFonts w:asciiTheme="minorHAnsi" w:hAnsiTheme="minorHAnsi" w:cstheme="minorHAnsi"/>
          <w:sz w:val="22"/>
          <w:szCs w:val="22"/>
          <w:lang w:eastAsia="en-GB"/>
        </w:rPr>
        <w:t>.</w:t>
      </w:r>
    </w:p>
    <w:p w14:paraId="5FA6C618" w14:textId="77777777" w:rsidR="006A432E" w:rsidRPr="006A432E" w:rsidRDefault="006A432E" w:rsidP="00943477">
      <w:pPr>
        <w:jc w:val="both"/>
        <w:rPr>
          <w:rFonts w:asciiTheme="minorHAnsi" w:hAnsiTheme="minorHAnsi" w:cstheme="minorHAnsi"/>
          <w:sz w:val="22"/>
          <w:szCs w:val="22"/>
          <w:lang w:eastAsia="en-GB"/>
        </w:rPr>
      </w:pPr>
    </w:p>
    <w:p w14:paraId="25FA9E79" w14:textId="71A89BF3" w:rsidR="00262967" w:rsidRDefault="006A432E" w:rsidP="00943477">
      <w:pPr>
        <w:pStyle w:val="Numpara1"/>
        <w:numPr>
          <w:ilvl w:val="0"/>
          <w:numId w:val="0"/>
        </w:numPr>
        <w:spacing w:before="0"/>
        <w:jc w:val="both"/>
        <w:rPr>
          <w:rFonts w:ascii="Calibri" w:hAnsi="Calibri" w:cs="Calibri"/>
          <w:sz w:val="22"/>
          <w:lang w:eastAsia="en-GB"/>
        </w:rPr>
      </w:pPr>
      <w:r>
        <w:rPr>
          <w:rFonts w:ascii="Calibri" w:hAnsi="Calibri" w:cs="Calibri"/>
          <w:sz w:val="22"/>
          <w:lang w:eastAsia="en-GB"/>
        </w:rPr>
        <w:t>WPI caps the weekly rent payable at 74.99% of market rent</w:t>
      </w:r>
      <w:r w:rsidR="004D45C2">
        <w:rPr>
          <w:rFonts w:ascii="Calibri" w:hAnsi="Calibri" w:cs="Calibri"/>
          <w:sz w:val="22"/>
          <w:lang w:eastAsia="en-GB"/>
        </w:rPr>
        <w:t xml:space="preserve">, for an example of a rent calculation see </w:t>
      </w:r>
      <w:r w:rsidR="00FB3242">
        <w:rPr>
          <w:rFonts w:ascii="Calibri" w:hAnsi="Calibri" w:cs="Calibri"/>
          <w:sz w:val="22"/>
          <w:lang w:eastAsia="en-GB"/>
        </w:rPr>
        <w:t>A</w:t>
      </w:r>
      <w:r w:rsidR="004D45C2">
        <w:rPr>
          <w:rFonts w:ascii="Calibri" w:hAnsi="Calibri" w:cs="Calibri"/>
          <w:sz w:val="22"/>
          <w:lang w:eastAsia="en-GB"/>
        </w:rPr>
        <w:t>ppendix A</w:t>
      </w:r>
      <w:r w:rsidR="00050CE4">
        <w:rPr>
          <w:rFonts w:ascii="Calibri" w:hAnsi="Calibri" w:cs="Calibri"/>
          <w:sz w:val="22"/>
          <w:lang w:eastAsia="en-GB"/>
        </w:rPr>
        <w:t>.</w:t>
      </w:r>
    </w:p>
    <w:p w14:paraId="66E2D880" w14:textId="77777777" w:rsidR="00E858BA" w:rsidRDefault="00E858BA" w:rsidP="00943477">
      <w:pPr>
        <w:pStyle w:val="Numpara1"/>
        <w:numPr>
          <w:ilvl w:val="0"/>
          <w:numId w:val="0"/>
        </w:numPr>
        <w:spacing w:before="0"/>
        <w:jc w:val="both"/>
        <w:rPr>
          <w:rFonts w:ascii="Calibri" w:hAnsi="Calibri" w:cs="Calibri"/>
          <w:sz w:val="22"/>
          <w:lang w:eastAsia="en-GB"/>
        </w:rPr>
      </w:pPr>
    </w:p>
    <w:p w14:paraId="193C264C" w14:textId="0996188D" w:rsidR="004D45C2" w:rsidRDefault="00AD261B" w:rsidP="00AD261B">
      <w:pPr>
        <w:pStyle w:val="ListParagraph"/>
        <w:numPr>
          <w:ilvl w:val="1"/>
          <w:numId w:val="2"/>
        </w:numPr>
        <w:jc w:val="both"/>
        <w:rPr>
          <w:rFonts w:ascii="Calibri" w:hAnsi="Calibri" w:cs="Calibri"/>
          <w:sz w:val="22"/>
          <w:lang w:eastAsia="en-GB"/>
        </w:rPr>
      </w:pPr>
      <w:r>
        <w:rPr>
          <w:rFonts w:ascii="Calibri" w:hAnsi="Calibri" w:cs="Calibri"/>
          <w:b/>
          <w:sz w:val="22"/>
          <w:lang w:eastAsia="en-GB"/>
        </w:rPr>
        <w:t>Renter and Applicant Information</w:t>
      </w:r>
    </w:p>
    <w:p w14:paraId="4047E586" w14:textId="77777777" w:rsidR="004D45C2" w:rsidRDefault="004D45C2" w:rsidP="00943477">
      <w:pPr>
        <w:jc w:val="both"/>
        <w:rPr>
          <w:rFonts w:ascii="Calibri" w:hAnsi="Calibri" w:cs="Calibri"/>
          <w:sz w:val="22"/>
          <w:szCs w:val="22"/>
        </w:rPr>
      </w:pPr>
      <w:r>
        <w:rPr>
          <w:rFonts w:ascii="Calibri" w:hAnsi="Calibri" w:cs="Calibri"/>
          <w:sz w:val="22"/>
          <w:szCs w:val="22"/>
        </w:rPr>
        <w:t>Renters</w:t>
      </w:r>
      <w:r w:rsidRPr="00F83386">
        <w:rPr>
          <w:rFonts w:ascii="Calibri" w:hAnsi="Calibri" w:cs="Calibri"/>
          <w:sz w:val="22"/>
          <w:szCs w:val="22"/>
        </w:rPr>
        <w:t xml:space="preserve"> and applicants are obliged to provide to WPI reasonable evidence that establishes their total household income when requested by WPI:</w:t>
      </w:r>
    </w:p>
    <w:p w14:paraId="213D2D3C" w14:textId="77777777" w:rsidR="004D45C2" w:rsidRPr="00F83386" w:rsidRDefault="004D45C2" w:rsidP="00943477">
      <w:pPr>
        <w:jc w:val="both"/>
        <w:rPr>
          <w:rFonts w:ascii="Calibri" w:hAnsi="Calibri" w:cs="Calibri"/>
          <w:sz w:val="22"/>
          <w:szCs w:val="22"/>
        </w:rPr>
      </w:pPr>
    </w:p>
    <w:p w14:paraId="42FD0B52" w14:textId="77777777" w:rsidR="004D45C2" w:rsidRPr="00F83386" w:rsidRDefault="004D45C2" w:rsidP="00943477">
      <w:pPr>
        <w:pStyle w:val="ListParagraph"/>
        <w:numPr>
          <w:ilvl w:val="0"/>
          <w:numId w:val="10"/>
        </w:numPr>
        <w:contextualSpacing/>
        <w:jc w:val="both"/>
        <w:rPr>
          <w:rFonts w:ascii="Calibri" w:hAnsi="Calibri" w:cs="Calibri"/>
          <w:sz w:val="22"/>
          <w:szCs w:val="22"/>
        </w:rPr>
      </w:pPr>
      <w:r>
        <w:rPr>
          <w:rFonts w:ascii="Calibri" w:hAnsi="Calibri" w:cs="Calibri"/>
          <w:sz w:val="22"/>
          <w:szCs w:val="22"/>
        </w:rPr>
        <w:t>B</w:t>
      </w:r>
      <w:r w:rsidRPr="00F83386">
        <w:rPr>
          <w:rFonts w:ascii="Calibri" w:hAnsi="Calibri" w:cs="Calibri"/>
          <w:sz w:val="22"/>
          <w:szCs w:val="22"/>
        </w:rPr>
        <w:t>efore being offered a tenancy with WPI</w:t>
      </w:r>
      <w:r>
        <w:rPr>
          <w:rFonts w:ascii="Calibri" w:hAnsi="Calibri" w:cs="Calibri"/>
          <w:sz w:val="22"/>
          <w:szCs w:val="22"/>
        </w:rPr>
        <w:t>;</w:t>
      </w:r>
    </w:p>
    <w:p w14:paraId="00A82F4C" w14:textId="77777777" w:rsidR="004D45C2" w:rsidRDefault="004D45C2" w:rsidP="00943477">
      <w:pPr>
        <w:pStyle w:val="ListParagraph"/>
        <w:numPr>
          <w:ilvl w:val="0"/>
          <w:numId w:val="10"/>
        </w:numPr>
        <w:contextualSpacing/>
        <w:jc w:val="both"/>
        <w:rPr>
          <w:rFonts w:ascii="Calibri" w:hAnsi="Calibri" w:cs="Calibri"/>
          <w:sz w:val="22"/>
          <w:szCs w:val="22"/>
        </w:rPr>
      </w:pPr>
      <w:r>
        <w:rPr>
          <w:rFonts w:ascii="Calibri" w:hAnsi="Calibri" w:cs="Calibri"/>
          <w:sz w:val="22"/>
          <w:szCs w:val="22"/>
        </w:rPr>
        <w:t>W</w:t>
      </w:r>
      <w:r w:rsidRPr="00F83386">
        <w:rPr>
          <w:rFonts w:ascii="Calibri" w:hAnsi="Calibri" w:cs="Calibri"/>
          <w:sz w:val="22"/>
          <w:szCs w:val="22"/>
        </w:rPr>
        <w:t>hen WPI carries out their annual rent review</w:t>
      </w:r>
      <w:r>
        <w:rPr>
          <w:rFonts w:ascii="Calibri" w:hAnsi="Calibri" w:cs="Calibri"/>
          <w:sz w:val="22"/>
          <w:szCs w:val="22"/>
        </w:rPr>
        <w:t>; and</w:t>
      </w:r>
    </w:p>
    <w:p w14:paraId="4F2B164E" w14:textId="3A7E228B" w:rsidR="004D45C2" w:rsidRPr="002D6A5F" w:rsidRDefault="004D45C2" w:rsidP="00943477">
      <w:pPr>
        <w:pStyle w:val="ListParagraph"/>
        <w:numPr>
          <w:ilvl w:val="0"/>
          <w:numId w:val="10"/>
        </w:numPr>
        <w:contextualSpacing/>
        <w:jc w:val="both"/>
        <w:rPr>
          <w:rFonts w:ascii="Calibri" w:hAnsi="Calibri" w:cs="Calibri"/>
          <w:sz w:val="22"/>
          <w:szCs w:val="22"/>
        </w:rPr>
      </w:pPr>
      <w:r>
        <w:rPr>
          <w:rFonts w:ascii="Calibri" w:hAnsi="Calibri" w:cs="Calibri"/>
          <w:sz w:val="22"/>
          <w:szCs w:val="22"/>
        </w:rPr>
        <w:t xml:space="preserve">When a renter requests a rent review due to </w:t>
      </w:r>
      <w:r w:rsidR="00AD261B">
        <w:rPr>
          <w:rFonts w:ascii="Calibri" w:hAnsi="Calibri" w:cs="Calibri"/>
          <w:sz w:val="22"/>
          <w:szCs w:val="22"/>
        </w:rPr>
        <w:t xml:space="preserve">a </w:t>
      </w:r>
      <w:r>
        <w:rPr>
          <w:rFonts w:ascii="Calibri" w:hAnsi="Calibri" w:cs="Calibri"/>
          <w:sz w:val="22"/>
          <w:szCs w:val="22"/>
        </w:rPr>
        <w:t>change of income/ household composition.</w:t>
      </w:r>
    </w:p>
    <w:p w14:paraId="4C586532" w14:textId="560FABB7" w:rsidR="004D45C2" w:rsidRDefault="004D45C2" w:rsidP="00943477">
      <w:pPr>
        <w:pStyle w:val="Numpara1"/>
        <w:numPr>
          <w:ilvl w:val="0"/>
          <w:numId w:val="0"/>
        </w:numPr>
        <w:spacing w:before="0"/>
        <w:ind w:left="851" w:hanging="851"/>
        <w:jc w:val="both"/>
        <w:rPr>
          <w:rFonts w:ascii="Calibri" w:hAnsi="Calibri" w:cs="Calibri"/>
          <w:sz w:val="22"/>
          <w:lang w:eastAsia="en-GB"/>
        </w:rPr>
      </w:pPr>
    </w:p>
    <w:p w14:paraId="323B7C2C" w14:textId="0FCB511E" w:rsidR="004D45C2" w:rsidRDefault="004D45C2" w:rsidP="00943477">
      <w:pPr>
        <w:pStyle w:val="Numpara1"/>
        <w:numPr>
          <w:ilvl w:val="0"/>
          <w:numId w:val="0"/>
        </w:numPr>
        <w:spacing w:before="0"/>
        <w:jc w:val="both"/>
        <w:rPr>
          <w:rFonts w:ascii="Calibri" w:hAnsi="Calibri" w:cs="Calibri"/>
          <w:sz w:val="22"/>
          <w:lang w:eastAsia="en-GB"/>
        </w:rPr>
      </w:pPr>
      <w:r>
        <w:rPr>
          <w:rFonts w:ascii="Calibri" w:hAnsi="Calibri" w:cs="Calibri"/>
          <w:sz w:val="22"/>
          <w:lang w:eastAsia="en-GB"/>
        </w:rPr>
        <w:t>A renter can ask WPI to review their rent at any time. Renters must provide proof o</w:t>
      </w:r>
      <w:r w:rsidR="00050CE4">
        <w:rPr>
          <w:rFonts w:ascii="Calibri" w:hAnsi="Calibri" w:cs="Calibri"/>
          <w:sz w:val="22"/>
          <w:lang w:eastAsia="en-GB"/>
        </w:rPr>
        <w:t>f</w:t>
      </w:r>
      <w:r>
        <w:rPr>
          <w:rFonts w:ascii="Calibri" w:hAnsi="Calibri" w:cs="Calibri"/>
          <w:sz w:val="22"/>
          <w:lang w:eastAsia="en-GB"/>
        </w:rPr>
        <w:t xml:space="preserve"> income for all members of the household 18 years of age and over. </w:t>
      </w:r>
    </w:p>
    <w:p w14:paraId="11CECD7C" w14:textId="2799D03D" w:rsidR="004D45C2" w:rsidRDefault="004D45C2" w:rsidP="00943477">
      <w:pPr>
        <w:pStyle w:val="Numpara1"/>
        <w:numPr>
          <w:ilvl w:val="0"/>
          <w:numId w:val="0"/>
        </w:numPr>
        <w:spacing w:before="0"/>
        <w:jc w:val="both"/>
        <w:rPr>
          <w:rFonts w:ascii="Calibri" w:hAnsi="Calibri" w:cs="Calibri"/>
          <w:sz w:val="22"/>
          <w:lang w:eastAsia="en-GB"/>
        </w:rPr>
      </w:pPr>
    </w:p>
    <w:p w14:paraId="6EF0D149" w14:textId="0C6239D3" w:rsidR="00AD261B" w:rsidRPr="00AD261B" w:rsidRDefault="00AD261B" w:rsidP="00F62B93">
      <w:pPr>
        <w:pStyle w:val="ListParagraph"/>
        <w:numPr>
          <w:ilvl w:val="1"/>
          <w:numId w:val="2"/>
        </w:numPr>
        <w:jc w:val="both"/>
        <w:rPr>
          <w:rFonts w:ascii="Calibri" w:hAnsi="Calibri" w:cs="Calibri"/>
          <w:sz w:val="22"/>
          <w:lang w:eastAsia="en-GB"/>
        </w:rPr>
      </w:pPr>
      <w:r w:rsidRPr="00AD261B">
        <w:rPr>
          <w:rStyle w:val="fontstyle01"/>
          <w:b/>
        </w:rPr>
        <w:t>Weekly Rent Calculation</w:t>
      </w:r>
    </w:p>
    <w:p w14:paraId="31084765" w14:textId="64793D8D" w:rsidR="00AC38A0" w:rsidRDefault="004D45C2" w:rsidP="00943477">
      <w:pPr>
        <w:pStyle w:val="Numpara1"/>
        <w:numPr>
          <w:ilvl w:val="0"/>
          <w:numId w:val="0"/>
        </w:numPr>
        <w:spacing w:before="0"/>
        <w:jc w:val="both"/>
        <w:rPr>
          <w:rStyle w:val="fontstyle01"/>
        </w:rPr>
      </w:pPr>
      <w:r>
        <w:rPr>
          <w:rStyle w:val="fontstyle01"/>
        </w:rPr>
        <w:t>The weekly rent payment calculation is based on total household assessable income received</w:t>
      </w:r>
      <w:r w:rsidR="00AD261B">
        <w:rPr>
          <w:rStyle w:val="fontstyle01"/>
        </w:rPr>
        <w:t xml:space="preserve"> by the household</w:t>
      </w:r>
      <w:r>
        <w:rPr>
          <w:rStyle w:val="fontstyle01"/>
        </w:rPr>
        <w:t>, and the</w:t>
      </w:r>
      <w:r w:rsidR="00B843D2">
        <w:rPr>
          <w:rFonts w:ascii="Calibri" w:hAnsi="Calibri" w:cs="Calibri"/>
          <w:color w:val="000000"/>
          <w:sz w:val="22"/>
        </w:rPr>
        <w:t xml:space="preserve"> </w:t>
      </w:r>
      <w:r>
        <w:rPr>
          <w:rStyle w:val="fontstyle01"/>
        </w:rPr>
        <w:t xml:space="preserve">income that all household members are entitled to receive from Centrelink or other statutory authority, regardless as to whether they claim receipt of the income or not. This includes Commonwealth Rent Assistance (CRA), </w:t>
      </w:r>
      <w:r w:rsidR="00524245">
        <w:rPr>
          <w:rStyle w:val="fontstyle01"/>
        </w:rPr>
        <w:t>F</w:t>
      </w:r>
      <w:r>
        <w:rPr>
          <w:rStyle w:val="fontstyle01"/>
        </w:rPr>
        <w:t xml:space="preserve">amily </w:t>
      </w:r>
      <w:r w:rsidR="00524245">
        <w:rPr>
          <w:rStyle w:val="fontstyle01"/>
        </w:rPr>
        <w:t>T</w:t>
      </w:r>
      <w:r>
        <w:rPr>
          <w:rStyle w:val="fontstyle01"/>
        </w:rPr>
        <w:t xml:space="preserve">ax </w:t>
      </w:r>
      <w:r w:rsidR="00524245">
        <w:rPr>
          <w:rStyle w:val="fontstyle01"/>
        </w:rPr>
        <w:t>B</w:t>
      </w:r>
      <w:r>
        <w:rPr>
          <w:rStyle w:val="fontstyle01"/>
        </w:rPr>
        <w:t xml:space="preserve">enefits and part primary pension and benefits. An exception applies where a renter can provide evidence that they are not entitled to </w:t>
      </w:r>
      <w:r w:rsidR="00AD261B">
        <w:rPr>
          <w:rStyle w:val="fontstyle01"/>
        </w:rPr>
        <w:t xml:space="preserve">such </w:t>
      </w:r>
      <w:r>
        <w:rPr>
          <w:rStyle w:val="fontstyle01"/>
        </w:rPr>
        <w:t xml:space="preserve">a payment. </w:t>
      </w:r>
    </w:p>
    <w:p w14:paraId="0F99A8D7" w14:textId="77777777" w:rsidR="009E1F82" w:rsidRDefault="009E1F82" w:rsidP="00943477">
      <w:pPr>
        <w:pStyle w:val="Numpara1"/>
        <w:numPr>
          <w:ilvl w:val="0"/>
          <w:numId w:val="0"/>
        </w:numPr>
        <w:spacing w:before="0"/>
        <w:jc w:val="both"/>
        <w:rPr>
          <w:rStyle w:val="fontstyle01"/>
        </w:rPr>
      </w:pPr>
    </w:p>
    <w:p w14:paraId="37B7AE67" w14:textId="25A7BF24" w:rsidR="004D45C2" w:rsidRDefault="004D45C2" w:rsidP="00943477">
      <w:pPr>
        <w:pStyle w:val="Numpara1"/>
        <w:numPr>
          <w:ilvl w:val="0"/>
          <w:numId w:val="0"/>
        </w:numPr>
        <w:spacing w:before="0"/>
        <w:jc w:val="both"/>
        <w:rPr>
          <w:rStyle w:val="fontstyle01"/>
        </w:rPr>
      </w:pPr>
      <w:r>
        <w:rPr>
          <w:rStyle w:val="fontstyle01"/>
        </w:rPr>
        <w:t>If a Centrelink income has been</w:t>
      </w:r>
      <w:r>
        <w:rPr>
          <w:rFonts w:ascii="Calibri" w:hAnsi="Calibri" w:cs="Calibri"/>
          <w:color w:val="000000"/>
          <w:sz w:val="22"/>
        </w:rPr>
        <w:t xml:space="preserve"> </w:t>
      </w:r>
      <w:r>
        <w:rPr>
          <w:rStyle w:val="fontstyle01"/>
        </w:rPr>
        <w:t xml:space="preserve">reduced or cancelled by a Centrelink penalty, </w:t>
      </w:r>
      <w:r w:rsidR="00F05E13">
        <w:rPr>
          <w:rStyle w:val="fontstyle01"/>
        </w:rPr>
        <w:t>WPI</w:t>
      </w:r>
      <w:r>
        <w:rPr>
          <w:rStyle w:val="fontstyle01"/>
        </w:rPr>
        <w:t xml:space="preserve"> will continue</w:t>
      </w:r>
      <w:r w:rsidR="00F05E13">
        <w:rPr>
          <w:rStyle w:val="fontstyle01"/>
        </w:rPr>
        <w:t xml:space="preserve"> </w:t>
      </w:r>
      <w:r>
        <w:rPr>
          <w:rStyle w:val="fontstyle01"/>
        </w:rPr>
        <w:t>to</w:t>
      </w:r>
      <w:r w:rsidR="00F05E13">
        <w:rPr>
          <w:rStyle w:val="fontstyle01"/>
        </w:rPr>
        <w:t xml:space="preserve"> </w:t>
      </w:r>
      <w:r>
        <w:rPr>
          <w:rStyle w:val="fontstyle01"/>
        </w:rPr>
        <w:t>base the calculation on 100% of</w:t>
      </w:r>
      <w:r w:rsidR="00F05E13">
        <w:rPr>
          <w:rFonts w:ascii="Calibri" w:hAnsi="Calibri" w:cs="Calibri"/>
          <w:color w:val="000000"/>
          <w:sz w:val="22"/>
        </w:rPr>
        <w:t xml:space="preserve"> </w:t>
      </w:r>
      <w:r>
        <w:rPr>
          <w:rStyle w:val="fontstyle01"/>
        </w:rPr>
        <w:t>the Centrelink entitlement.</w:t>
      </w:r>
    </w:p>
    <w:p w14:paraId="342282CA" w14:textId="106CD74D" w:rsidR="00F05E13" w:rsidRDefault="00F05E13" w:rsidP="00943477">
      <w:pPr>
        <w:pStyle w:val="Numpara1"/>
        <w:numPr>
          <w:ilvl w:val="0"/>
          <w:numId w:val="0"/>
        </w:numPr>
        <w:spacing w:before="0"/>
        <w:jc w:val="both"/>
        <w:rPr>
          <w:rStyle w:val="fontstyle01"/>
        </w:rPr>
      </w:pPr>
    </w:p>
    <w:p w14:paraId="35BC9EDB" w14:textId="77777777" w:rsidR="00AD261B" w:rsidRDefault="00AD261B" w:rsidP="00AD261B">
      <w:pPr>
        <w:jc w:val="both"/>
        <w:rPr>
          <w:rFonts w:asciiTheme="minorHAnsi" w:hAnsiTheme="minorHAnsi" w:cstheme="minorHAnsi"/>
          <w:sz w:val="22"/>
          <w:szCs w:val="22"/>
          <w:lang w:eastAsia="en-GB"/>
        </w:rPr>
      </w:pPr>
      <w:r>
        <w:rPr>
          <w:rFonts w:asciiTheme="minorHAnsi" w:hAnsiTheme="minorHAnsi" w:cstheme="minorHAnsi"/>
          <w:sz w:val="22"/>
          <w:szCs w:val="22"/>
          <w:lang w:eastAsia="en-GB"/>
        </w:rPr>
        <w:t>The weekly rent payable is calculated using the below base calculation:</w:t>
      </w:r>
    </w:p>
    <w:p w14:paraId="2026FE98" w14:textId="042E6893" w:rsidR="00AD261B" w:rsidRDefault="00AD261B" w:rsidP="00AD261B">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30% of assessable household income;</w:t>
      </w:r>
      <w:r w:rsidR="0099136C">
        <w:rPr>
          <w:rFonts w:asciiTheme="minorHAnsi" w:hAnsiTheme="minorHAnsi" w:cstheme="minorHAnsi"/>
          <w:sz w:val="22"/>
          <w:szCs w:val="22"/>
          <w:lang w:eastAsia="en-GB"/>
        </w:rPr>
        <w:t xml:space="preserve"> and</w:t>
      </w:r>
    </w:p>
    <w:p w14:paraId="1301C831" w14:textId="0F1B0F9F" w:rsidR="00AD261B" w:rsidRDefault="00AD261B" w:rsidP="00AD261B">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15% family tax benefit and child support (if applicable);</w:t>
      </w:r>
      <w:r w:rsidR="0099136C">
        <w:rPr>
          <w:rFonts w:asciiTheme="minorHAnsi" w:hAnsiTheme="minorHAnsi" w:cstheme="minorHAnsi"/>
          <w:sz w:val="22"/>
          <w:szCs w:val="22"/>
          <w:lang w:eastAsia="en-GB"/>
        </w:rPr>
        <w:t xml:space="preserve"> and</w:t>
      </w:r>
    </w:p>
    <w:p w14:paraId="4669B167" w14:textId="77777777" w:rsidR="00AD261B" w:rsidRDefault="00AD261B" w:rsidP="00AD261B">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100% Commonwealth Rent Assistance (if applicable); and</w:t>
      </w:r>
    </w:p>
    <w:p w14:paraId="5FC79FB2" w14:textId="77777777" w:rsidR="00AD261B" w:rsidRDefault="00AD261B" w:rsidP="00AD261B">
      <w:pPr>
        <w:pStyle w:val="ListParagraph"/>
        <w:numPr>
          <w:ilvl w:val="0"/>
          <w:numId w:val="9"/>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Service charges (if applicable).</w:t>
      </w:r>
    </w:p>
    <w:p w14:paraId="5FB72755" w14:textId="77777777" w:rsidR="00AD261B" w:rsidRDefault="00AD261B" w:rsidP="00943477">
      <w:pPr>
        <w:pStyle w:val="Numpara1"/>
        <w:numPr>
          <w:ilvl w:val="0"/>
          <w:numId w:val="0"/>
        </w:numPr>
        <w:spacing w:before="0"/>
        <w:jc w:val="both"/>
        <w:rPr>
          <w:rStyle w:val="fontstyle01"/>
        </w:rPr>
      </w:pPr>
    </w:p>
    <w:p w14:paraId="43D6BAA2" w14:textId="3B054104" w:rsidR="00F05E13" w:rsidRPr="00F05E13" w:rsidRDefault="00452693" w:rsidP="00943477">
      <w:pPr>
        <w:pStyle w:val="Numpara1"/>
        <w:numPr>
          <w:ilvl w:val="1"/>
          <w:numId w:val="2"/>
        </w:numPr>
        <w:spacing w:before="0"/>
        <w:jc w:val="both"/>
        <w:rPr>
          <w:rStyle w:val="fontstyle01"/>
          <w:b/>
          <w:bCs/>
        </w:rPr>
      </w:pPr>
      <w:r>
        <w:rPr>
          <w:rStyle w:val="fontstyle01"/>
          <w:b/>
          <w:bCs/>
        </w:rPr>
        <w:t>S</w:t>
      </w:r>
      <w:r w:rsidR="00F05E13" w:rsidRPr="00F05E13">
        <w:rPr>
          <w:rStyle w:val="fontstyle01"/>
          <w:b/>
          <w:bCs/>
        </w:rPr>
        <w:t>ervice charges</w:t>
      </w:r>
    </w:p>
    <w:p w14:paraId="1B4537F2" w14:textId="05C07759" w:rsidR="00F05E13" w:rsidRDefault="00F05E13" w:rsidP="00943477">
      <w:pPr>
        <w:pStyle w:val="Numpara1"/>
        <w:numPr>
          <w:ilvl w:val="0"/>
          <w:numId w:val="0"/>
        </w:numPr>
        <w:spacing w:before="0"/>
        <w:jc w:val="both"/>
        <w:rPr>
          <w:rStyle w:val="fontstyle01"/>
        </w:rPr>
      </w:pPr>
      <w:r>
        <w:rPr>
          <w:rStyle w:val="fontstyle01"/>
        </w:rPr>
        <w:t>Service charges may apply to a household where water, heating, or</w:t>
      </w:r>
      <w:r>
        <w:rPr>
          <w:rFonts w:ascii="Calibri" w:hAnsi="Calibri" w:cs="Calibri"/>
          <w:color w:val="000000"/>
          <w:sz w:val="22"/>
        </w:rPr>
        <w:t xml:space="preserve"> </w:t>
      </w:r>
      <w:r>
        <w:rPr>
          <w:rStyle w:val="fontstyle01"/>
        </w:rPr>
        <w:t>other utility services or facilities are made available</w:t>
      </w:r>
      <w:r w:rsidR="00AD261B">
        <w:rPr>
          <w:rStyle w:val="fontstyle01"/>
        </w:rPr>
        <w:t xml:space="preserve"> as part of the rent amount payable</w:t>
      </w:r>
      <w:r>
        <w:rPr>
          <w:rStyle w:val="fontstyle01"/>
        </w:rPr>
        <w:t>. The service charges are included in the weekly rent</w:t>
      </w:r>
      <w:r>
        <w:rPr>
          <w:rFonts w:ascii="Calibri" w:hAnsi="Calibri" w:cs="Calibri"/>
          <w:color w:val="000000"/>
          <w:sz w:val="22"/>
        </w:rPr>
        <w:t xml:space="preserve"> </w:t>
      </w:r>
      <w:r>
        <w:rPr>
          <w:rStyle w:val="fontstyle01"/>
        </w:rPr>
        <w:t>payment.</w:t>
      </w:r>
      <w:r>
        <w:rPr>
          <w:rFonts w:ascii="Calibri" w:hAnsi="Calibri" w:cs="Calibri"/>
          <w:color w:val="000000"/>
          <w:sz w:val="22"/>
        </w:rPr>
        <w:t xml:space="preserve"> </w:t>
      </w:r>
      <w:r>
        <w:rPr>
          <w:rStyle w:val="fontstyle01"/>
        </w:rPr>
        <w:t>In accordance with the RTA, service charges must not exceed the cost of providing the service or facility to</w:t>
      </w:r>
      <w:r>
        <w:rPr>
          <w:rFonts w:ascii="Calibri" w:hAnsi="Calibri" w:cs="Calibri"/>
          <w:color w:val="000000"/>
          <w:sz w:val="22"/>
        </w:rPr>
        <w:t xml:space="preserve"> </w:t>
      </w:r>
      <w:r>
        <w:rPr>
          <w:rStyle w:val="fontstyle01"/>
        </w:rPr>
        <w:t>the household. WPI reviews service charges as part of the rent review and gives written notice to</w:t>
      </w:r>
      <w:r>
        <w:rPr>
          <w:rFonts w:ascii="Calibri" w:hAnsi="Calibri" w:cs="Calibri"/>
          <w:color w:val="000000"/>
          <w:sz w:val="22"/>
        </w:rPr>
        <w:t xml:space="preserve"> </w:t>
      </w:r>
      <w:r>
        <w:rPr>
          <w:rStyle w:val="fontstyle01"/>
        </w:rPr>
        <w:t>renters of any variation.</w:t>
      </w:r>
    </w:p>
    <w:p w14:paraId="256C3B8C" w14:textId="44353084" w:rsidR="00F05E13" w:rsidRDefault="00F05E13" w:rsidP="00943477">
      <w:pPr>
        <w:pStyle w:val="Numpara1"/>
        <w:numPr>
          <w:ilvl w:val="0"/>
          <w:numId w:val="0"/>
        </w:numPr>
        <w:spacing w:before="0"/>
        <w:jc w:val="both"/>
        <w:rPr>
          <w:rStyle w:val="fontstyle01"/>
        </w:rPr>
      </w:pPr>
    </w:p>
    <w:p w14:paraId="47931CCE" w14:textId="047A6B59" w:rsidR="00F05E13" w:rsidRPr="00452693" w:rsidRDefault="00F05E13" w:rsidP="00943477">
      <w:pPr>
        <w:pStyle w:val="Numpara1"/>
        <w:numPr>
          <w:ilvl w:val="1"/>
          <w:numId w:val="2"/>
        </w:numPr>
        <w:spacing w:before="0"/>
        <w:jc w:val="both"/>
        <w:rPr>
          <w:rStyle w:val="fontstyle01"/>
          <w:b/>
          <w:bCs/>
        </w:rPr>
      </w:pPr>
      <w:r w:rsidRPr="00452693">
        <w:rPr>
          <w:rStyle w:val="fontstyle01"/>
          <w:b/>
          <w:bCs/>
        </w:rPr>
        <w:t xml:space="preserve">Changes to Household Income </w:t>
      </w:r>
    </w:p>
    <w:p w14:paraId="40370A00" w14:textId="26C1CA16" w:rsidR="00F05E13" w:rsidRDefault="00F05E13" w:rsidP="00943477">
      <w:pPr>
        <w:pStyle w:val="Numpara1"/>
        <w:numPr>
          <w:ilvl w:val="0"/>
          <w:numId w:val="0"/>
        </w:numPr>
        <w:spacing w:before="0"/>
        <w:jc w:val="both"/>
        <w:rPr>
          <w:rStyle w:val="fontstyle01"/>
        </w:rPr>
      </w:pPr>
      <w:r>
        <w:rPr>
          <w:rStyle w:val="fontstyle01"/>
        </w:rPr>
        <w:t>Renters must inform WPI if their household income or family circumstances change by completing a</w:t>
      </w:r>
      <w:r>
        <w:rPr>
          <w:rFonts w:ascii="Calibri" w:hAnsi="Calibri" w:cs="Calibri"/>
          <w:color w:val="000000"/>
          <w:sz w:val="22"/>
        </w:rPr>
        <w:br/>
      </w:r>
      <w:r>
        <w:rPr>
          <w:rStyle w:val="fontstyle21"/>
        </w:rPr>
        <w:t xml:space="preserve">Rent Review form </w:t>
      </w:r>
      <w:r w:rsidRPr="00452693">
        <w:rPr>
          <w:rStyle w:val="fontstyle21"/>
          <w:b w:val="0"/>
          <w:bCs w:val="0"/>
        </w:rPr>
        <w:t>and</w:t>
      </w:r>
      <w:r>
        <w:rPr>
          <w:rStyle w:val="fontstyle01"/>
        </w:rPr>
        <w:t xml:space="preserve"> supply evidence of the change within 21 days of the change occurring. Changes to a household include:</w:t>
      </w:r>
    </w:p>
    <w:p w14:paraId="3E56EDDA" w14:textId="77777777" w:rsidR="0017336A" w:rsidRDefault="0017336A" w:rsidP="00943477">
      <w:pPr>
        <w:pStyle w:val="Numpara1"/>
        <w:numPr>
          <w:ilvl w:val="0"/>
          <w:numId w:val="0"/>
        </w:numPr>
        <w:spacing w:before="0"/>
        <w:jc w:val="both"/>
        <w:rPr>
          <w:rStyle w:val="fontstyle01"/>
        </w:rPr>
      </w:pPr>
    </w:p>
    <w:p w14:paraId="717D21DE" w14:textId="1D8D673F" w:rsidR="00F05E13" w:rsidRPr="00F05E13" w:rsidRDefault="00F05E13" w:rsidP="00943477">
      <w:pPr>
        <w:pStyle w:val="Numpara1"/>
        <w:numPr>
          <w:ilvl w:val="0"/>
          <w:numId w:val="13"/>
        </w:numPr>
        <w:spacing w:before="0"/>
        <w:jc w:val="both"/>
        <w:rPr>
          <w:rStyle w:val="fontstyle01"/>
          <w:color w:val="auto"/>
          <w:lang w:eastAsia="en-GB"/>
        </w:rPr>
      </w:pPr>
      <w:r>
        <w:rPr>
          <w:rStyle w:val="fontstyle01"/>
        </w:rPr>
        <w:t>An increase or decrease in the income of any member of the household</w:t>
      </w:r>
      <w:r w:rsidR="00AD261B">
        <w:rPr>
          <w:rStyle w:val="fontstyle01"/>
        </w:rPr>
        <w:t>;</w:t>
      </w:r>
    </w:p>
    <w:p w14:paraId="391F3FEB" w14:textId="435E2A65" w:rsidR="00F05E13" w:rsidRPr="00F05E13" w:rsidRDefault="00F05E13" w:rsidP="00943477">
      <w:pPr>
        <w:pStyle w:val="Numpara1"/>
        <w:numPr>
          <w:ilvl w:val="0"/>
          <w:numId w:val="13"/>
        </w:numPr>
        <w:spacing w:before="0"/>
        <w:jc w:val="both"/>
        <w:rPr>
          <w:rStyle w:val="fontstyle01"/>
          <w:color w:val="auto"/>
          <w:lang w:eastAsia="en-GB"/>
        </w:rPr>
      </w:pPr>
      <w:r>
        <w:rPr>
          <w:rStyle w:val="fontstyle01"/>
        </w:rPr>
        <w:t>A household member turn</w:t>
      </w:r>
      <w:r w:rsidR="0040050D">
        <w:rPr>
          <w:rStyle w:val="fontstyle01"/>
        </w:rPr>
        <w:t xml:space="preserve">ing </w:t>
      </w:r>
      <w:r>
        <w:rPr>
          <w:rStyle w:val="fontstyle01"/>
        </w:rPr>
        <w:t xml:space="preserve">18 years of </w:t>
      </w:r>
      <w:r w:rsidR="009645F8">
        <w:rPr>
          <w:rStyle w:val="fontstyle01"/>
        </w:rPr>
        <w:t>age; and</w:t>
      </w:r>
      <w:r w:rsidR="00AD261B">
        <w:rPr>
          <w:rStyle w:val="fontstyle01"/>
        </w:rPr>
        <w:t>/or</w:t>
      </w:r>
    </w:p>
    <w:p w14:paraId="18905FD3" w14:textId="28F85423" w:rsidR="00F05E13" w:rsidRDefault="00F05E13" w:rsidP="00943477">
      <w:pPr>
        <w:pStyle w:val="Numpara1"/>
        <w:numPr>
          <w:ilvl w:val="0"/>
          <w:numId w:val="13"/>
        </w:numPr>
        <w:spacing w:before="0"/>
        <w:jc w:val="both"/>
        <w:rPr>
          <w:rStyle w:val="fontstyle01"/>
          <w:color w:val="auto"/>
          <w:lang w:eastAsia="en-GB"/>
        </w:rPr>
      </w:pPr>
      <w:r>
        <w:rPr>
          <w:rStyle w:val="fontstyle01"/>
        </w:rPr>
        <w:t>A person join</w:t>
      </w:r>
      <w:r w:rsidR="0040050D">
        <w:rPr>
          <w:rStyle w:val="fontstyle01"/>
        </w:rPr>
        <w:t xml:space="preserve">ing </w:t>
      </w:r>
      <w:r>
        <w:rPr>
          <w:rStyle w:val="fontstyle01"/>
        </w:rPr>
        <w:t>or leav</w:t>
      </w:r>
      <w:r w:rsidR="0040050D">
        <w:rPr>
          <w:rStyle w:val="fontstyle01"/>
        </w:rPr>
        <w:t xml:space="preserve">ing </w:t>
      </w:r>
      <w:r>
        <w:rPr>
          <w:rStyle w:val="fontstyle01"/>
        </w:rPr>
        <w:t>the household.</w:t>
      </w:r>
    </w:p>
    <w:p w14:paraId="60505284" w14:textId="06CB5810" w:rsidR="00F05E13" w:rsidRDefault="00F05E13" w:rsidP="00943477">
      <w:pPr>
        <w:pStyle w:val="Numpara1"/>
        <w:numPr>
          <w:ilvl w:val="0"/>
          <w:numId w:val="0"/>
        </w:numPr>
        <w:spacing w:before="0"/>
        <w:jc w:val="both"/>
        <w:rPr>
          <w:rStyle w:val="fontstyle01"/>
        </w:rPr>
      </w:pPr>
      <w:r w:rsidRPr="00F05E13">
        <w:rPr>
          <w:rFonts w:ascii="Calibri" w:hAnsi="Calibri" w:cs="Calibri"/>
          <w:color w:val="000000"/>
          <w:sz w:val="22"/>
        </w:rPr>
        <w:br/>
      </w:r>
      <w:r>
        <w:rPr>
          <w:rStyle w:val="fontstyle01"/>
        </w:rPr>
        <w:t>WPI will use the information provided to reassess the household’s weekly rent payment.</w:t>
      </w:r>
    </w:p>
    <w:p w14:paraId="5075F1E8" w14:textId="57CE3B01" w:rsidR="00F05E13" w:rsidRDefault="00F05E13" w:rsidP="00943477">
      <w:pPr>
        <w:pStyle w:val="Numpara1"/>
        <w:numPr>
          <w:ilvl w:val="0"/>
          <w:numId w:val="0"/>
        </w:numPr>
        <w:spacing w:before="0"/>
        <w:jc w:val="both"/>
        <w:rPr>
          <w:rStyle w:val="fontstyle01"/>
        </w:rPr>
      </w:pPr>
    </w:p>
    <w:p w14:paraId="3CC6870A" w14:textId="77777777" w:rsidR="00B376E0" w:rsidRPr="00CD4508" w:rsidRDefault="00B376E0" w:rsidP="00943477">
      <w:pPr>
        <w:pStyle w:val="Numpara1"/>
        <w:numPr>
          <w:ilvl w:val="0"/>
          <w:numId w:val="2"/>
        </w:numPr>
        <w:spacing w:before="0"/>
        <w:jc w:val="both"/>
        <w:rPr>
          <w:rFonts w:ascii="Calibri" w:hAnsi="Calibri" w:cs="Calibri"/>
          <w:sz w:val="32"/>
          <w:szCs w:val="32"/>
          <w:lang w:eastAsia="en-GB"/>
        </w:rPr>
      </w:pPr>
      <w:r w:rsidRPr="00CD4508">
        <w:rPr>
          <w:rFonts w:ascii="Calibri" w:hAnsi="Calibri" w:cs="Calibri"/>
          <w:b/>
          <w:sz w:val="32"/>
          <w:szCs w:val="32"/>
        </w:rPr>
        <w:t>RELEVANT DOCUMENTATION</w:t>
      </w:r>
    </w:p>
    <w:p w14:paraId="27376EBD" w14:textId="77777777" w:rsidR="00B376E0" w:rsidRDefault="00B376E0" w:rsidP="00943477">
      <w:pPr>
        <w:pStyle w:val="Numpara1"/>
        <w:numPr>
          <w:ilvl w:val="0"/>
          <w:numId w:val="0"/>
        </w:numPr>
        <w:spacing w:before="0"/>
        <w:jc w:val="both"/>
        <w:rPr>
          <w:rFonts w:ascii="Calibri" w:hAnsi="Calibri" w:cs="Calibri"/>
          <w:sz w:val="22"/>
        </w:rPr>
      </w:pPr>
      <w:r w:rsidRPr="00CD4508">
        <w:rPr>
          <w:rFonts w:ascii="Calibri" w:hAnsi="Calibri" w:cs="Calibri"/>
          <w:sz w:val="22"/>
        </w:rPr>
        <w:t xml:space="preserve">PPH1841 Rent Setting and </w:t>
      </w:r>
      <w:r>
        <w:rPr>
          <w:rFonts w:ascii="Calibri" w:hAnsi="Calibri" w:cs="Calibri"/>
          <w:sz w:val="22"/>
        </w:rPr>
        <w:t xml:space="preserve">Rebate </w:t>
      </w:r>
      <w:r w:rsidRPr="00CD4508">
        <w:rPr>
          <w:rFonts w:ascii="Calibri" w:hAnsi="Calibri" w:cs="Calibri"/>
          <w:sz w:val="22"/>
        </w:rPr>
        <w:t>Procedures</w:t>
      </w:r>
    </w:p>
    <w:p w14:paraId="14A015EA" w14:textId="77777777" w:rsidR="00B376E0" w:rsidRPr="00CD4508" w:rsidRDefault="00B376E0" w:rsidP="00943477">
      <w:pPr>
        <w:pStyle w:val="Numpara1"/>
        <w:numPr>
          <w:ilvl w:val="0"/>
          <w:numId w:val="0"/>
        </w:numPr>
        <w:spacing w:before="0"/>
        <w:jc w:val="both"/>
        <w:rPr>
          <w:rFonts w:ascii="Calibri" w:hAnsi="Calibri" w:cs="Calibri"/>
          <w:sz w:val="32"/>
          <w:szCs w:val="32"/>
          <w:lang w:eastAsia="en-GB"/>
        </w:rPr>
      </w:pPr>
      <w:r>
        <w:rPr>
          <w:rFonts w:ascii="Calibri" w:hAnsi="Calibri" w:cs="Calibri"/>
          <w:sz w:val="22"/>
        </w:rPr>
        <w:t>POH1917 Financial Hardship and Temporary Absence Policy</w:t>
      </w:r>
    </w:p>
    <w:p w14:paraId="5C756FE6" w14:textId="77777777" w:rsidR="00B376E0" w:rsidRPr="00CD4508" w:rsidRDefault="00B376E0" w:rsidP="00943477">
      <w:pPr>
        <w:pStyle w:val="ListParagraph"/>
        <w:ind w:left="0"/>
        <w:contextualSpacing/>
        <w:jc w:val="both"/>
        <w:rPr>
          <w:rFonts w:ascii="Calibri" w:hAnsi="Calibri" w:cs="Calibri"/>
          <w:sz w:val="22"/>
          <w:szCs w:val="22"/>
        </w:rPr>
      </w:pPr>
    </w:p>
    <w:p w14:paraId="2052A5BF" w14:textId="77777777" w:rsidR="00B376E0" w:rsidRPr="00CD4508" w:rsidRDefault="00B376E0" w:rsidP="00943477">
      <w:pPr>
        <w:pStyle w:val="ListParagraph"/>
        <w:numPr>
          <w:ilvl w:val="0"/>
          <w:numId w:val="2"/>
        </w:numPr>
        <w:contextualSpacing/>
        <w:jc w:val="both"/>
        <w:rPr>
          <w:rFonts w:ascii="Calibri" w:hAnsi="Calibri" w:cs="Calibri"/>
          <w:b/>
          <w:bCs/>
          <w:sz w:val="32"/>
          <w:szCs w:val="32"/>
        </w:rPr>
      </w:pPr>
      <w:r w:rsidRPr="00CD4508">
        <w:rPr>
          <w:rFonts w:ascii="Calibri" w:hAnsi="Calibri" w:cs="Calibri"/>
          <w:b/>
          <w:bCs/>
          <w:sz w:val="32"/>
          <w:szCs w:val="32"/>
        </w:rPr>
        <w:t>RELEVANT LEGISLATION</w:t>
      </w:r>
      <w:r>
        <w:rPr>
          <w:rFonts w:ascii="Calibri" w:hAnsi="Calibri" w:cs="Calibri"/>
          <w:b/>
          <w:bCs/>
          <w:sz w:val="32"/>
          <w:szCs w:val="32"/>
        </w:rPr>
        <w:t>, GUIDELINES AND STANDARDS</w:t>
      </w:r>
    </w:p>
    <w:p w14:paraId="1DAD460A" w14:textId="77777777" w:rsidR="00B376E0" w:rsidRDefault="00B376E0" w:rsidP="00943477">
      <w:pPr>
        <w:jc w:val="both"/>
        <w:rPr>
          <w:rFonts w:ascii="Calibri" w:hAnsi="Calibri" w:cs="Calibri"/>
          <w:sz w:val="22"/>
          <w:szCs w:val="22"/>
        </w:rPr>
      </w:pPr>
      <w:r w:rsidRPr="00F83386">
        <w:rPr>
          <w:rFonts w:ascii="Calibri" w:hAnsi="Calibri" w:cs="Calibri"/>
          <w:sz w:val="22"/>
          <w:szCs w:val="22"/>
        </w:rPr>
        <w:t>This policy implements the obligations of WPI under:</w:t>
      </w:r>
    </w:p>
    <w:p w14:paraId="1B64A336" w14:textId="77777777" w:rsidR="00B376E0" w:rsidRPr="00F83386" w:rsidRDefault="00B376E0" w:rsidP="00943477">
      <w:pPr>
        <w:jc w:val="both"/>
        <w:rPr>
          <w:rFonts w:ascii="Calibri" w:hAnsi="Calibri" w:cs="Calibri"/>
          <w:sz w:val="22"/>
          <w:szCs w:val="22"/>
        </w:rPr>
      </w:pPr>
    </w:p>
    <w:p w14:paraId="7ED5FD38" w14:textId="77777777" w:rsidR="00B376E0" w:rsidRPr="00F83386" w:rsidRDefault="00B376E0" w:rsidP="00943477">
      <w:pPr>
        <w:pStyle w:val="ListParagraph"/>
        <w:numPr>
          <w:ilvl w:val="0"/>
          <w:numId w:val="14"/>
        </w:numPr>
        <w:contextualSpacing/>
        <w:jc w:val="both"/>
        <w:rPr>
          <w:rFonts w:ascii="Calibri" w:hAnsi="Calibri" w:cs="Calibri"/>
          <w:sz w:val="22"/>
          <w:szCs w:val="22"/>
        </w:rPr>
      </w:pPr>
      <w:r w:rsidRPr="00F83386">
        <w:rPr>
          <w:rFonts w:ascii="Calibri" w:hAnsi="Calibri" w:cs="Calibri"/>
          <w:sz w:val="22"/>
          <w:szCs w:val="22"/>
        </w:rPr>
        <w:t>Housing Act 1983 (Vic)</w:t>
      </w:r>
    </w:p>
    <w:p w14:paraId="72604CCB" w14:textId="028B5D1B" w:rsidR="00B376E0" w:rsidRDefault="00F478C6" w:rsidP="00943477">
      <w:pPr>
        <w:pStyle w:val="ListParagraph"/>
        <w:numPr>
          <w:ilvl w:val="0"/>
          <w:numId w:val="14"/>
        </w:numPr>
        <w:contextualSpacing/>
        <w:jc w:val="both"/>
        <w:rPr>
          <w:rStyle w:val="Hyperlink"/>
          <w:rFonts w:asciiTheme="minorHAnsi" w:hAnsiTheme="minorHAnsi" w:cstheme="minorHAnsi"/>
          <w:color w:val="auto"/>
          <w:sz w:val="22"/>
          <w:szCs w:val="22"/>
          <w:u w:val="none"/>
        </w:rPr>
      </w:pPr>
      <w:hyperlink r:id="rId10" w:history="1">
        <w:r w:rsidR="00B376E0" w:rsidRPr="004D2154">
          <w:rPr>
            <w:rStyle w:val="Hyperlink"/>
            <w:rFonts w:asciiTheme="minorHAnsi" w:hAnsiTheme="minorHAnsi" w:cstheme="minorHAnsi"/>
            <w:color w:val="auto"/>
            <w:sz w:val="22"/>
            <w:szCs w:val="22"/>
            <w:u w:val="none"/>
          </w:rPr>
          <w:t>Guidelines for Registered Housing Agencies published by DFFH</w:t>
        </w:r>
      </w:hyperlink>
      <w:r w:rsidR="00B376E0" w:rsidRPr="004D2154">
        <w:rPr>
          <w:rFonts w:asciiTheme="minorHAnsi" w:hAnsiTheme="minorHAnsi" w:cstheme="minorHAnsi"/>
          <w:sz w:val="22"/>
          <w:szCs w:val="22"/>
        </w:rPr>
        <w:t xml:space="preserve"> Guidelines for Registered Housing Agencies published by the Department of Families, Fairness and Housing (DFFH) </w:t>
      </w:r>
      <w:hyperlink r:id="rId11" w:history="1">
        <w:r w:rsidR="0057563E" w:rsidRPr="00181E70">
          <w:rPr>
            <w:rStyle w:val="Hyperlink"/>
            <w:rFonts w:asciiTheme="minorHAnsi" w:hAnsiTheme="minorHAnsi" w:cstheme="minorHAnsi"/>
            <w:sz w:val="22"/>
            <w:szCs w:val="22"/>
          </w:rPr>
          <w:t>https://providers.dffh.vic.gov.au/guidelines-registered-housing-agencies</w:t>
        </w:r>
      </w:hyperlink>
    </w:p>
    <w:p w14:paraId="736F06E6" w14:textId="2BCE50A1" w:rsidR="00B376E0" w:rsidRPr="00F83386" w:rsidRDefault="00B376E0" w:rsidP="00943477">
      <w:pPr>
        <w:pStyle w:val="ListParagraph"/>
        <w:numPr>
          <w:ilvl w:val="0"/>
          <w:numId w:val="14"/>
        </w:numPr>
        <w:contextualSpacing/>
        <w:jc w:val="both"/>
        <w:rPr>
          <w:rFonts w:ascii="Calibri" w:hAnsi="Calibri" w:cs="Calibri"/>
          <w:sz w:val="22"/>
          <w:szCs w:val="22"/>
        </w:rPr>
      </w:pPr>
      <w:r w:rsidRPr="00F83386">
        <w:rPr>
          <w:rFonts w:ascii="Calibri" w:hAnsi="Calibri" w:cs="Calibri"/>
          <w:sz w:val="22"/>
          <w:szCs w:val="22"/>
        </w:rPr>
        <w:t>Performance Standards for Registered Housing Agencies</w:t>
      </w:r>
      <w:r>
        <w:rPr>
          <w:rFonts w:ascii="Calibri" w:hAnsi="Calibri" w:cs="Calibri"/>
          <w:sz w:val="22"/>
          <w:szCs w:val="22"/>
        </w:rPr>
        <w:t xml:space="preserve"> established under </w:t>
      </w:r>
      <w:r w:rsidR="0017336A">
        <w:rPr>
          <w:rFonts w:ascii="Calibri" w:hAnsi="Calibri" w:cs="Calibri"/>
          <w:sz w:val="22"/>
          <w:szCs w:val="22"/>
        </w:rPr>
        <w:t>S</w:t>
      </w:r>
      <w:r>
        <w:rPr>
          <w:rFonts w:ascii="Calibri" w:hAnsi="Calibri" w:cs="Calibri"/>
          <w:sz w:val="22"/>
          <w:szCs w:val="22"/>
        </w:rPr>
        <w:t>ection 93 of the Housing Act 1983 (Vic)</w:t>
      </w:r>
    </w:p>
    <w:p w14:paraId="056888D7" w14:textId="77777777" w:rsidR="00B376E0" w:rsidRPr="00F83386" w:rsidRDefault="00B376E0" w:rsidP="00943477">
      <w:pPr>
        <w:pStyle w:val="ListParagraph"/>
        <w:numPr>
          <w:ilvl w:val="0"/>
          <w:numId w:val="14"/>
        </w:numPr>
        <w:contextualSpacing/>
        <w:jc w:val="both"/>
        <w:rPr>
          <w:rFonts w:ascii="Calibri" w:hAnsi="Calibri" w:cs="Calibri"/>
          <w:sz w:val="22"/>
          <w:szCs w:val="22"/>
        </w:rPr>
      </w:pPr>
      <w:bookmarkStart w:id="1" w:name="_Hlk45555288"/>
      <w:r w:rsidRPr="00F83386">
        <w:rPr>
          <w:rFonts w:ascii="Calibri" w:hAnsi="Calibri" w:cs="Calibri"/>
          <w:sz w:val="22"/>
          <w:szCs w:val="22"/>
        </w:rPr>
        <w:t xml:space="preserve">Residential Tenancies Act 1997 (Vic)  </w:t>
      </w:r>
    </w:p>
    <w:bookmarkEnd w:id="1"/>
    <w:p w14:paraId="16564725" w14:textId="77777777" w:rsidR="00B376E0" w:rsidRPr="00F83386" w:rsidRDefault="00B376E0" w:rsidP="00943477">
      <w:pPr>
        <w:pStyle w:val="ListParagraph"/>
        <w:spacing w:after="200"/>
        <w:ind w:left="0"/>
        <w:contextualSpacing/>
        <w:jc w:val="both"/>
        <w:rPr>
          <w:rFonts w:ascii="Calibri" w:hAnsi="Calibri" w:cs="Calibri"/>
          <w:sz w:val="22"/>
          <w:szCs w:val="22"/>
        </w:rPr>
      </w:pPr>
    </w:p>
    <w:p w14:paraId="06F42246" w14:textId="77777777" w:rsidR="00B376E0" w:rsidRDefault="00B376E0" w:rsidP="00943477">
      <w:pPr>
        <w:pStyle w:val="ListParagraph"/>
        <w:numPr>
          <w:ilvl w:val="0"/>
          <w:numId w:val="2"/>
        </w:numPr>
        <w:contextualSpacing/>
        <w:jc w:val="both"/>
        <w:rPr>
          <w:rFonts w:ascii="Calibri" w:hAnsi="Calibri" w:cs="Calibri"/>
          <w:b/>
          <w:bCs/>
          <w:sz w:val="32"/>
          <w:szCs w:val="32"/>
        </w:rPr>
      </w:pPr>
      <w:r>
        <w:rPr>
          <w:rFonts w:ascii="Calibri" w:hAnsi="Calibri" w:cs="Calibri"/>
          <w:b/>
          <w:bCs/>
          <w:sz w:val="32"/>
          <w:szCs w:val="32"/>
        </w:rPr>
        <w:t>TRANSPARENCY AND ACCESSIBILITY</w:t>
      </w:r>
    </w:p>
    <w:p w14:paraId="5ED38403" w14:textId="77777777" w:rsidR="00B376E0" w:rsidRDefault="00B376E0" w:rsidP="00943477">
      <w:pPr>
        <w:pStyle w:val="ListParagraph"/>
        <w:ind w:left="0"/>
        <w:contextualSpacing/>
        <w:jc w:val="both"/>
        <w:rPr>
          <w:rFonts w:ascii="Calibri" w:hAnsi="Calibri" w:cs="Calibri"/>
          <w:sz w:val="22"/>
          <w:szCs w:val="22"/>
        </w:rPr>
      </w:pPr>
      <w:r>
        <w:rPr>
          <w:rFonts w:ascii="Calibri" w:hAnsi="Calibri" w:cs="Calibri"/>
          <w:sz w:val="22"/>
          <w:szCs w:val="22"/>
        </w:rPr>
        <w:t xml:space="preserve">This policy is available on the WPI website </w:t>
      </w:r>
      <w:hyperlink r:id="rId12" w:history="1">
        <w:r w:rsidRPr="00DB7574">
          <w:rPr>
            <w:rStyle w:val="Hyperlink"/>
            <w:rFonts w:ascii="Calibri" w:hAnsi="Calibri" w:cs="Calibri"/>
            <w:sz w:val="22"/>
            <w:szCs w:val="22"/>
          </w:rPr>
          <w:t>www.wpi.org.au</w:t>
        </w:r>
      </w:hyperlink>
      <w:r>
        <w:rPr>
          <w:rFonts w:ascii="Calibri" w:hAnsi="Calibri" w:cs="Calibri"/>
          <w:sz w:val="22"/>
          <w:szCs w:val="22"/>
        </w:rPr>
        <w:t>.</w:t>
      </w:r>
    </w:p>
    <w:p w14:paraId="36A6A346" w14:textId="77777777" w:rsidR="00E06448" w:rsidRDefault="00E06448" w:rsidP="00943477">
      <w:pPr>
        <w:pStyle w:val="ListParagraph"/>
        <w:ind w:left="0"/>
        <w:contextualSpacing/>
        <w:jc w:val="both"/>
        <w:rPr>
          <w:rFonts w:ascii="Calibri" w:hAnsi="Calibri" w:cs="Calibri"/>
          <w:sz w:val="22"/>
          <w:szCs w:val="22"/>
        </w:rPr>
      </w:pPr>
    </w:p>
    <w:p w14:paraId="0143D718" w14:textId="77777777" w:rsidR="00B376E0" w:rsidRDefault="00B376E0" w:rsidP="00943477">
      <w:pPr>
        <w:pStyle w:val="ListParagraph"/>
        <w:numPr>
          <w:ilvl w:val="0"/>
          <w:numId w:val="2"/>
        </w:numPr>
        <w:contextualSpacing/>
        <w:jc w:val="both"/>
        <w:rPr>
          <w:rFonts w:ascii="Calibri" w:hAnsi="Calibri" w:cs="Calibri"/>
          <w:b/>
          <w:bCs/>
          <w:sz w:val="32"/>
          <w:szCs w:val="32"/>
        </w:rPr>
      </w:pPr>
      <w:r>
        <w:rPr>
          <w:rFonts w:ascii="Calibri" w:hAnsi="Calibri" w:cs="Calibri"/>
          <w:b/>
          <w:bCs/>
          <w:sz w:val="32"/>
          <w:szCs w:val="32"/>
        </w:rPr>
        <w:t>DEFINITIONS</w:t>
      </w:r>
    </w:p>
    <w:p w14:paraId="229F5F8E" w14:textId="77777777" w:rsidR="00B376E0" w:rsidRDefault="00B376E0" w:rsidP="00943477">
      <w:pPr>
        <w:pStyle w:val="ListParagraph"/>
        <w:ind w:left="0"/>
        <w:contextualSpacing/>
        <w:jc w:val="both"/>
        <w:rPr>
          <w:rFonts w:ascii="Calibri" w:hAnsi="Calibri" w:cs="Calibri"/>
          <w:sz w:val="22"/>
          <w:szCs w:val="22"/>
        </w:rPr>
      </w:pPr>
      <w:r>
        <w:rPr>
          <w:rFonts w:ascii="Calibri" w:hAnsi="Calibri" w:cs="Calibri"/>
          <w:sz w:val="22"/>
          <w:szCs w:val="22"/>
        </w:rPr>
        <w:t>In this policy the following terms have the following meanings:</w:t>
      </w:r>
    </w:p>
    <w:p w14:paraId="57218807" w14:textId="77777777" w:rsidR="00B376E0" w:rsidRDefault="00B376E0" w:rsidP="00B376E0">
      <w:pPr>
        <w:pStyle w:val="ListParagraph"/>
        <w:ind w:left="0"/>
        <w:contextualSpacing/>
        <w:rPr>
          <w:rFonts w:ascii="Calibri" w:hAnsi="Calibri" w:cs="Calibri"/>
          <w:sz w:val="22"/>
          <w:szCs w:val="22"/>
        </w:rPr>
      </w:pPr>
    </w:p>
    <w:tbl>
      <w:tblPr>
        <w:tblW w:w="9918" w:type="dxa"/>
        <w:tblLook w:val="04A0" w:firstRow="1" w:lastRow="0" w:firstColumn="1" w:lastColumn="0" w:noHBand="0" w:noVBand="1"/>
      </w:tblPr>
      <w:tblGrid>
        <w:gridCol w:w="2127"/>
        <w:gridCol w:w="7791"/>
      </w:tblGrid>
      <w:tr w:rsidR="00B376E0" w:rsidRPr="00F83386" w14:paraId="3160CB09" w14:textId="77777777" w:rsidTr="000053ED">
        <w:trPr>
          <w:trHeight w:val="614"/>
        </w:trPr>
        <w:tc>
          <w:tcPr>
            <w:tcW w:w="2127" w:type="dxa"/>
            <w:shd w:val="clear" w:color="auto" w:fill="auto"/>
          </w:tcPr>
          <w:p w14:paraId="3C6C57C9" w14:textId="77777777" w:rsidR="00B376E0" w:rsidRPr="00F83386" w:rsidRDefault="00B376E0" w:rsidP="00294A84">
            <w:pPr>
              <w:spacing w:before="120" w:after="120"/>
              <w:rPr>
                <w:rFonts w:ascii="Calibri" w:hAnsi="Calibri" w:cs="Calibri"/>
                <w:b/>
                <w:sz w:val="22"/>
                <w:szCs w:val="22"/>
              </w:rPr>
            </w:pPr>
            <w:r w:rsidRPr="00F83386">
              <w:rPr>
                <w:rFonts w:ascii="Calibri" w:hAnsi="Calibri" w:cs="Calibri"/>
                <w:b/>
                <w:sz w:val="22"/>
                <w:szCs w:val="22"/>
              </w:rPr>
              <w:t>Applicant</w:t>
            </w:r>
            <w:r>
              <w:rPr>
                <w:rFonts w:ascii="Calibri" w:hAnsi="Calibri" w:cs="Calibri"/>
                <w:b/>
                <w:sz w:val="22"/>
                <w:szCs w:val="22"/>
              </w:rPr>
              <w:t>:</w:t>
            </w:r>
          </w:p>
        </w:tc>
        <w:tc>
          <w:tcPr>
            <w:tcW w:w="7791" w:type="dxa"/>
            <w:shd w:val="clear" w:color="auto" w:fill="auto"/>
          </w:tcPr>
          <w:p w14:paraId="23709715" w14:textId="77777777" w:rsidR="00B376E0" w:rsidRPr="00F83386" w:rsidRDefault="00B376E0" w:rsidP="00294A84">
            <w:pPr>
              <w:spacing w:before="120" w:after="120"/>
              <w:rPr>
                <w:rFonts w:ascii="Calibri" w:hAnsi="Calibri" w:cs="Calibri"/>
                <w:sz w:val="22"/>
                <w:szCs w:val="22"/>
              </w:rPr>
            </w:pPr>
            <w:r>
              <w:rPr>
                <w:rFonts w:ascii="Calibri" w:hAnsi="Calibri" w:cs="Calibri"/>
                <w:sz w:val="22"/>
                <w:szCs w:val="22"/>
              </w:rPr>
              <w:t>m</w:t>
            </w:r>
            <w:r w:rsidRPr="00F83386">
              <w:rPr>
                <w:rFonts w:ascii="Calibri" w:hAnsi="Calibri" w:cs="Calibri"/>
                <w:sz w:val="22"/>
                <w:szCs w:val="22"/>
              </w:rPr>
              <w:t xml:space="preserve">eans an applicant for housing </w:t>
            </w:r>
            <w:r>
              <w:rPr>
                <w:rFonts w:ascii="Calibri" w:hAnsi="Calibri" w:cs="Calibri"/>
                <w:sz w:val="22"/>
                <w:szCs w:val="22"/>
              </w:rPr>
              <w:t xml:space="preserve">provided by </w:t>
            </w:r>
            <w:r w:rsidRPr="00F83386">
              <w:rPr>
                <w:rFonts w:ascii="Calibri" w:hAnsi="Calibri" w:cs="Calibri"/>
                <w:sz w:val="22"/>
                <w:szCs w:val="22"/>
              </w:rPr>
              <w:t>W</w:t>
            </w:r>
            <w:r>
              <w:rPr>
                <w:rFonts w:ascii="Calibri" w:hAnsi="Calibri" w:cs="Calibri"/>
                <w:sz w:val="22"/>
                <w:szCs w:val="22"/>
              </w:rPr>
              <w:t>omen’s Property Initiatives (W</w:t>
            </w:r>
            <w:r w:rsidRPr="00F83386">
              <w:rPr>
                <w:rFonts w:ascii="Calibri" w:hAnsi="Calibri" w:cs="Calibri"/>
                <w:sz w:val="22"/>
                <w:szCs w:val="22"/>
              </w:rPr>
              <w:t>PI</w:t>
            </w:r>
            <w:r>
              <w:rPr>
                <w:rFonts w:ascii="Calibri" w:hAnsi="Calibri" w:cs="Calibri"/>
                <w:sz w:val="22"/>
                <w:szCs w:val="22"/>
              </w:rPr>
              <w:t>).</w:t>
            </w:r>
          </w:p>
        </w:tc>
      </w:tr>
      <w:tr w:rsidR="00B376E0" w:rsidRPr="00F83386" w14:paraId="456F499C" w14:textId="77777777" w:rsidTr="000053ED">
        <w:trPr>
          <w:trHeight w:val="671"/>
        </w:trPr>
        <w:tc>
          <w:tcPr>
            <w:tcW w:w="2127" w:type="dxa"/>
            <w:shd w:val="clear" w:color="auto" w:fill="auto"/>
          </w:tcPr>
          <w:p w14:paraId="5DDFA4A7" w14:textId="77777777" w:rsidR="00B376E0" w:rsidRPr="00F83386" w:rsidRDefault="00B376E0" w:rsidP="00294A84">
            <w:pPr>
              <w:spacing w:before="120" w:after="120"/>
              <w:rPr>
                <w:rFonts w:ascii="Calibri" w:hAnsi="Calibri" w:cs="Calibri"/>
                <w:b/>
                <w:sz w:val="22"/>
                <w:szCs w:val="22"/>
              </w:rPr>
            </w:pPr>
            <w:bookmarkStart w:id="2" w:name="_Hlk45555169"/>
            <w:r w:rsidRPr="00F83386">
              <w:rPr>
                <w:rFonts w:ascii="Calibri" w:hAnsi="Calibri" w:cs="Calibri"/>
                <w:b/>
                <w:sz w:val="22"/>
                <w:szCs w:val="22"/>
              </w:rPr>
              <w:lastRenderedPageBreak/>
              <w:t>CAV</w:t>
            </w:r>
            <w:r>
              <w:rPr>
                <w:rFonts w:ascii="Calibri" w:hAnsi="Calibri" w:cs="Calibri"/>
                <w:b/>
                <w:sz w:val="22"/>
                <w:szCs w:val="22"/>
              </w:rPr>
              <w:t>:</w:t>
            </w:r>
          </w:p>
        </w:tc>
        <w:tc>
          <w:tcPr>
            <w:tcW w:w="7791" w:type="dxa"/>
            <w:shd w:val="clear" w:color="auto" w:fill="auto"/>
          </w:tcPr>
          <w:p w14:paraId="67BC7F5F" w14:textId="77777777" w:rsidR="00B376E0" w:rsidRPr="00F83386" w:rsidRDefault="00B376E0" w:rsidP="00294A84">
            <w:pPr>
              <w:spacing w:before="120" w:after="120"/>
              <w:rPr>
                <w:rFonts w:ascii="Calibri" w:hAnsi="Calibri" w:cs="Calibri"/>
                <w:sz w:val="22"/>
                <w:szCs w:val="22"/>
              </w:rPr>
            </w:pPr>
            <w:r>
              <w:rPr>
                <w:rFonts w:ascii="Calibri" w:hAnsi="Calibri" w:cs="Calibri"/>
                <w:sz w:val="22"/>
                <w:szCs w:val="22"/>
              </w:rPr>
              <w:t xml:space="preserve">means </w:t>
            </w:r>
            <w:r w:rsidRPr="00F83386">
              <w:rPr>
                <w:rFonts w:ascii="Calibri" w:hAnsi="Calibri" w:cs="Calibri"/>
                <w:sz w:val="22"/>
                <w:szCs w:val="22"/>
              </w:rPr>
              <w:t>Consumer Affairs Victoria</w:t>
            </w:r>
            <w:r>
              <w:rPr>
                <w:rFonts w:ascii="Calibri" w:hAnsi="Calibri" w:cs="Calibri"/>
                <w:sz w:val="22"/>
                <w:szCs w:val="22"/>
              </w:rPr>
              <w:t>.</w:t>
            </w:r>
          </w:p>
        </w:tc>
      </w:tr>
      <w:tr w:rsidR="00B376E0" w:rsidRPr="00F83386" w14:paraId="5F05A65B" w14:textId="77777777" w:rsidTr="000053ED">
        <w:trPr>
          <w:trHeight w:val="671"/>
        </w:trPr>
        <w:tc>
          <w:tcPr>
            <w:tcW w:w="2127" w:type="dxa"/>
            <w:shd w:val="clear" w:color="auto" w:fill="auto"/>
          </w:tcPr>
          <w:p w14:paraId="5967C74D" w14:textId="77777777" w:rsidR="00B376E0" w:rsidRPr="00F83386" w:rsidRDefault="00B376E0" w:rsidP="00294A84">
            <w:pPr>
              <w:spacing w:before="120" w:after="120"/>
              <w:rPr>
                <w:rFonts w:ascii="Calibri" w:hAnsi="Calibri" w:cs="Calibri"/>
                <w:b/>
                <w:sz w:val="22"/>
                <w:szCs w:val="22"/>
              </w:rPr>
            </w:pPr>
            <w:r w:rsidRPr="00F83386">
              <w:rPr>
                <w:rFonts w:ascii="Calibri" w:hAnsi="Calibri" w:cs="Calibri"/>
                <w:b/>
                <w:sz w:val="22"/>
                <w:szCs w:val="22"/>
              </w:rPr>
              <w:t>CAV market rent</w:t>
            </w:r>
            <w:r>
              <w:rPr>
                <w:rFonts w:ascii="Calibri" w:hAnsi="Calibri" w:cs="Calibri"/>
                <w:b/>
                <w:sz w:val="22"/>
                <w:szCs w:val="22"/>
              </w:rPr>
              <w:t>:</w:t>
            </w:r>
          </w:p>
        </w:tc>
        <w:tc>
          <w:tcPr>
            <w:tcW w:w="7791" w:type="dxa"/>
            <w:shd w:val="clear" w:color="auto" w:fill="auto"/>
          </w:tcPr>
          <w:p w14:paraId="7D55C8CF" w14:textId="77777777" w:rsidR="00B376E0" w:rsidRPr="00F83386" w:rsidRDefault="00B376E0" w:rsidP="00294A84">
            <w:pPr>
              <w:spacing w:before="120" w:after="120"/>
              <w:rPr>
                <w:rFonts w:ascii="Calibri" w:hAnsi="Calibri" w:cs="Calibri"/>
                <w:sz w:val="22"/>
                <w:szCs w:val="22"/>
              </w:rPr>
            </w:pPr>
            <w:r>
              <w:rPr>
                <w:rFonts w:ascii="Calibri" w:hAnsi="Calibri" w:cs="Calibri"/>
                <w:sz w:val="22"/>
                <w:szCs w:val="22"/>
              </w:rPr>
              <w:t>means t</w:t>
            </w:r>
            <w:r w:rsidRPr="00F83386">
              <w:rPr>
                <w:rFonts w:ascii="Calibri" w:hAnsi="Calibri" w:cs="Calibri"/>
                <w:sz w:val="22"/>
                <w:szCs w:val="22"/>
              </w:rPr>
              <w:t>he maximum rent amount determined by CAV if requested to investigate and report under s102 or 102A of the RTA.</w:t>
            </w:r>
          </w:p>
        </w:tc>
      </w:tr>
      <w:tr w:rsidR="00B376E0" w:rsidRPr="00F83386" w14:paraId="518F5BB1" w14:textId="77777777" w:rsidTr="000053ED">
        <w:trPr>
          <w:trHeight w:val="671"/>
        </w:trPr>
        <w:tc>
          <w:tcPr>
            <w:tcW w:w="2127" w:type="dxa"/>
            <w:shd w:val="clear" w:color="auto" w:fill="auto"/>
          </w:tcPr>
          <w:p w14:paraId="19588C4F" w14:textId="418BB079" w:rsidR="00B376E0" w:rsidRPr="00F83386" w:rsidRDefault="00B376E0" w:rsidP="00294A84">
            <w:pPr>
              <w:spacing w:before="120" w:after="120"/>
              <w:rPr>
                <w:rFonts w:ascii="Calibri" w:hAnsi="Calibri" w:cs="Calibri"/>
                <w:b/>
                <w:sz w:val="22"/>
                <w:szCs w:val="22"/>
              </w:rPr>
            </w:pPr>
            <w:r w:rsidRPr="00F83386">
              <w:rPr>
                <w:rFonts w:ascii="Calibri" w:hAnsi="Calibri" w:cs="Calibri"/>
                <w:b/>
                <w:sz w:val="22"/>
                <w:szCs w:val="22"/>
              </w:rPr>
              <w:t>D</w:t>
            </w:r>
            <w:r>
              <w:rPr>
                <w:rFonts w:ascii="Calibri" w:hAnsi="Calibri" w:cs="Calibri"/>
                <w:b/>
                <w:sz w:val="22"/>
                <w:szCs w:val="22"/>
              </w:rPr>
              <w:t>FFH:</w:t>
            </w:r>
          </w:p>
        </w:tc>
        <w:tc>
          <w:tcPr>
            <w:tcW w:w="7791" w:type="dxa"/>
            <w:shd w:val="clear" w:color="auto" w:fill="auto"/>
          </w:tcPr>
          <w:p w14:paraId="750B6785" w14:textId="3503C0B5" w:rsidR="00B376E0" w:rsidRPr="00F83386" w:rsidRDefault="00B376E0" w:rsidP="00294A84">
            <w:pPr>
              <w:spacing w:before="120" w:after="120"/>
              <w:rPr>
                <w:rFonts w:ascii="Calibri" w:hAnsi="Calibri" w:cs="Calibri"/>
                <w:sz w:val="22"/>
                <w:szCs w:val="22"/>
              </w:rPr>
            </w:pPr>
            <w:r w:rsidRPr="00F83386">
              <w:rPr>
                <w:rFonts w:ascii="Calibri" w:hAnsi="Calibri" w:cs="Calibri"/>
                <w:sz w:val="22"/>
                <w:szCs w:val="22"/>
              </w:rPr>
              <w:t xml:space="preserve">Department of </w:t>
            </w:r>
            <w:r>
              <w:rPr>
                <w:rFonts w:ascii="Calibri" w:hAnsi="Calibri" w:cs="Calibri"/>
                <w:sz w:val="22"/>
                <w:szCs w:val="22"/>
              </w:rPr>
              <w:t xml:space="preserve">Families, Fairness and Housing </w:t>
            </w:r>
          </w:p>
        </w:tc>
      </w:tr>
      <w:tr w:rsidR="00B376E0" w:rsidRPr="00F83386" w14:paraId="502DF914" w14:textId="77777777" w:rsidTr="000053ED">
        <w:trPr>
          <w:trHeight w:val="853"/>
        </w:trPr>
        <w:tc>
          <w:tcPr>
            <w:tcW w:w="2127" w:type="dxa"/>
            <w:shd w:val="clear" w:color="auto" w:fill="auto"/>
          </w:tcPr>
          <w:p w14:paraId="03BD713E" w14:textId="376D784C" w:rsidR="00B376E0" w:rsidRPr="00F83386" w:rsidRDefault="00B376E0" w:rsidP="00294A84">
            <w:pPr>
              <w:spacing w:before="120" w:after="120"/>
              <w:rPr>
                <w:rFonts w:ascii="Calibri" w:hAnsi="Calibri" w:cs="Calibri"/>
                <w:b/>
                <w:sz w:val="22"/>
                <w:szCs w:val="22"/>
              </w:rPr>
            </w:pPr>
            <w:r>
              <w:rPr>
                <w:rFonts w:ascii="Calibri" w:hAnsi="Calibri" w:cs="Calibri"/>
                <w:b/>
                <w:sz w:val="22"/>
                <w:szCs w:val="22"/>
              </w:rPr>
              <w:t>DFFH Income Assessment Guidelines:</w:t>
            </w:r>
          </w:p>
        </w:tc>
        <w:tc>
          <w:tcPr>
            <w:tcW w:w="7791" w:type="dxa"/>
            <w:shd w:val="clear" w:color="auto" w:fill="auto"/>
          </w:tcPr>
          <w:p w14:paraId="15AE0622" w14:textId="0819EABC" w:rsidR="00B376E0" w:rsidRPr="00F83386" w:rsidRDefault="000C202C" w:rsidP="00294A84">
            <w:pPr>
              <w:spacing w:before="120" w:after="120"/>
              <w:rPr>
                <w:rFonts w:ascii="Calibri" w:hAnsi="Calibri" w:cs="Calibri"/>
                <w:sz w:val="22"/>
                <w:szCs w:val="22"/>
              </w:rPr>
            </w:pPr>
            <w:r>
              <w:rPr>
                <w:rFonts w:ascii="Calibri" w:hAnsi="Calibri" w:cs="Calibri"/>
                <w:sz w:val="22"/>
                <w:szCs w:val="22"/>
              </w:rPr>
              <w:t>G</w:t>
            </w:r>
            <w:r w:rsidR="00B376E0">
              <w:rPr>
                <w:rFonts w:ascii="Calibri" w:hAnsi="Calibri" w:cs="Calibri"/>
                <w:sz w:val="22"/>
                <w:szCs w:val="22"/>
              </w:rPr>
              <w:t>uidelines published by the DFFH from time to time that specify income assessment criteria.</w:t>
            </w:r>
          </w:p>
        </w:tc>
      </w:tr>
      <w:bookmarkEnd w:id="2"/>
      <w:tr w:rsidR="00B376E0" w:rsidRPr="00F83386" w14:paraId="242E0030" w14:textId="77777777" w:rsidTr="000053ED">
        <w:trPr>
          <w:trHeight w:val="853"/>
        </w:trPr>
        <w:tc>
          <w:tcPr>
            <w:tcW w:w="2127" w:type="dxa"/>
            <w:shd w:val="clear" w:color="auto" w:fill="auto"/>
          </w:tcPr>
          <w:p w14:paraId="5799273C" w14:textId="77777777" w:rsidR="00B376E0" w:rsidRPr="00F83386" w:rsidRDefault="00B376E0" w:rsidP="00294A84">
            <w:pPr>
              <w:spacing w:before="120" w:after="120"/>
              <w:rPr>
                <w:rFonts w:ascii="Calibri" w:hAnsi="Calibri" w:cs="Calibri"/>
                <w:b/>
                <w:sz w:val="22"/>
                <w:szCs w:val="22"/>
              </w:rPr>
            </w:pPr>
            <w:r w:rsidRPr="00F83386">
              <w:rPr>
                <w:rFonts w:ascii="Calibri" w:hAnsi="Calibri" w:cs="Calibri"/>
                <w:b/>
                <w:sz w:val="22"/>
                <w:szCs w:val="22"/>
              </w:rPr>
              <w:t>Gross household income</w:t>
            </w:r>
            <w:r>
              <w:rPr>
                <w:rFonts w:ascii="Calibri" w:hAnsi="Calibri" w:cs="Calibri"/>
                <w:b/>
                <w:sz w:val="22"/>
                <w:szCs w:val="22"/>
              </w:rPr>
              <w:t>:</w:t>
            </w:r>
          </w:p>
        </w:tc>
        <w:tc>
          <w:tcPr>
            <w:tcW w:w="7791" w:type="dxa"/>
            <w:shd w:val="clear" w:color="auto" w:fill="auto"/>
          </w:tcPr>
          <w:p w14:paraId="298310F3" w14:textId="4B9B53EE" w:rsidR="00B376E0" w:rsidRPr="00F83386" w:rsidRDefault="000C202C" w:rsidP="00294A84">
            <w:pPr>
              <w:spacing w:before="120" w:after="120"/>
              <w:rPr>
                <w:rFonts w:ascii="Calibri" w:hAnsi="Calibri" w:cs="Calibri"/>
                <w:sz w:val="22"/>
                <w:szCs w:val="22"/>
              </w:rPr>
            </w:pPr>
            <w:r>
              <w:rPr>
                <w:rFonts w:ascii="Calibri" w:hAnsi="Calibri" w:cs="Calibri"/>
                <w:sz w:val="22"/>
                <w:szCs w:val="22"/>
              </w:rPr>
              <w:t>T</w:t>
            </w:r>
            <w:r w:rsidR="00B376E0" w:rsidRPr="00F83386">
              <w:rPr>
                <w:rFonts w:ascii="Calibri" w:hAnsi="Calibri" w:cs="Calibri"/>
                <w:sz w:val="22"/>
                <w:szCs w:val="22"/>
              </w:rPr>
              <w:t xml:space="preserve">otal household income assessed in accordance with the </w:t>
            </w:r>
            <w:r w:rsidR="00B376E0">
              <w:rPr>
                <w:rFonts w:ascii="Calibri" w:hAnsi="Calibri" w:cs="Calibri"/>
                <w:sz w:val="22"/>
                <w:szCs w:val="22"/>
              </w:rPr>
              <w:t xml:space="preserve">DFFH </w:t>
            </w:r>
            <w:r w:rsidR="00B376E0" w:rsidRPr="00F77E97">
              <w:rPr>
                <w:rFonts w:ascii="Calibri" w:hAnsi="Calibri" w:cs="Calibri"/>
                <w:sz w:val="22"/>
                <w:szCs w:val="22"/>
              </w:rPr>
              <w:t>Income Assessment Guidelines</w:t>
            </w:r>
            <w:r w:rsidR="00B376E0">
              <w:rPr>
                <w:rFonts w:ascii="Calibri" w:hAnsi="Calibri" w:cs="Calibri"/>
                <w:sz w:val="22"/>
                <w:szCs w:val="22"/>
              </w:rPr>
              <w:t>.</w:t>
            </w:r>
          </w:p>
        </w:tc>
      </w:tr>
      <w:tr w:rsidR="00B376E0" w:rsidRPr="00F83386" w14:paraId="1A39BA41" w14:textId="77777777" w:rsidTr="000053ED">
        <w:trPr>
          <w:trHeight w:val="853"/>
        </w:trPr>
        <w:tc>
          <w:tcPr>
            <w:tcW w:w="2127" w:type="dxa"/>
            <w:shd w:val="clear" w:color="auto" w:fill="auto"/>
          </w:tcPr>
          <w:p w14:paraId="13C9F6F9" w14:textId="77777777" w:rsidR="00B376E0" w:rsidRPr="00F83386" w:rsidRDefault="00B376E0" w:rsidP="00294A84">
            <w:pPr>
              <w:spacing w:before="120" w:after="120"/>
              <w:rPr>
                <w:rFonts w:ascii="Calibri" w:hAnsi="Calibri" w:cs="Calibri"/>
                <w:b/>
                <w:sz w:val="22"/>
                <w:szCs w:val="22"/>
              </w:rPr>
            </w:pPr>
            <w:r w:rsidRPr="00F83386">
              <w:rPr>
                <w:rFonts w:ascii="Calibri" w:hAnsi="Calibri" w:cs="Calibri"/>
                <w:b/>
                <w:sz w:val="22"/>
                <w:szCs w:val="22"/>
              </w:rPr>
              <w:t>Maximum CRA</w:t>
            </w:r>
            <w:r>
              <w:rPr>
                <w:rFonts w:ascii="Calibri" w:hAnsi="Calibri" w:cs="Calibri"/>
                <w:b/>
                <w:sz w:val="22"/>
                <w:szCs w:val="22"/>
              </w:rPr>
              <w:t>:</w:t>
            </w:r>
          </w:p>
        </w:tc>
        <w:tc>
          <w:tcPr>
            <w:tcW w:w="7791" w:type="dxa"/>
            <w:shd w:val="clear" w:color="auto" w:fill="auto"/>
          </w:tcPr>
          <w:p w14:paraId="46147783" w14:textId="20EFAA8E" w:rsidR="00B376E0" w:rsidRPr="00F83386" w:rsidRDefault="00B376E0" w:rsidP="00294A84">
            <w:pPr>
              <w:spacing w:before="120" w:after="120"/>
              <w:rPr>
                <w:rFonts w:ascii="Calibri" w:hAnsi="Calibri" w:cs="Calibri"/>
                <w:sz w:val="22"/>
                <w:szCs w:val="22"/>
              </w:rPr>
            </w:pPr>
            <w:r>
              <w:rPr>
                <w:rFonts w:ascii="Calibri" w:hAnsi="Calibri" w:cs="Calibri"/>
                <w:sz w:val="22"/>
                <w:szCs w:val="22"/>
              </w:rPr>
              <w:t>means t</w:t>
            </w:r>
            <w:r w:rsidRPr="00F83386">
              <w:rPr>
                <w:rFonts w:ascii="Calibri" w:hAnsi="Calibri" w:cs="Calibri"/>
                <w:sz w:val="22"/>
                <w:szCs w:val="22"/>
              </w:rPr>
              <w:t>he maximum amount of Commonwealth Rent Assistance to which the household is entitled</w:t>
            </w:r>
            <w:r w:rsidR="000C202C">
              <w:rPr>
                <w:rFonts w:ascii="Calibri" w:hAnsi="Calibri" w:cs="Calibri"/>
                <w:sz w:val="22"/>
                <w:szCs w:val="22"/>
              </w:rPr>
              <w:t>.</w:t>
            </w:r>
          </w:p>
        </w:tc>
      </w:tr>
      <w:tr w:rsidR="00B376E0" w:rsidRPr="00F83386" w14:paraId="1CB1B618" w14:textId="77777777" w:rsidTr="000053ED">
        <w:trPr>
          <w:trHeight w:val="614"/>
        </w:trPr>
        <w:tc>
          <w:tcPr>
            <w:tcW w:w="2127" w:type="dxa"/>
            <w:shd w:val="clear" w:color="auto" w:fill="auto"/>
          </w:tcPr>
          <w:p w14:paraId="33AB050A" w14:textId="77777777" w:rsidR="00B376E0" w:rsidRPr="00F83386" w:rsidRDefault="00B376E0" w:rsidP="00294A84">
            <w:pPr>
              <w:spacing w:before="120" w:after="120"/>
              <w:rPr>
                <w:rFonts w:ascii="Calibri" w:hAnsi="Calibri" w:cs="Calibri"/>
                <w:b/>
                <w:sz w:val="22"/>
                <w:szCs w:val="22"/>
              </w:rPr>
            </w:pPr>
            <w:r w:rsidRPr="00F83386">
              <w:rPr>
                <w:rFonts w:ascii="Calibri" w:hAnsi="Calibri" w:cs="Calibri"/>
                <w:b/>
                <w:sz w:val="22"/>
                <w:szCs w:val="22"/>
              </w:rPr>
              <w:t>RTA</w:t>
            </w:r>
            <w:r>
              <w:rPr>
                <w:rFonts w:ascii="Calibri" w:hAnsi="Calibri" w:cs="Calibri"/>
                <w:b/>
                <w:sz w:val="22"/>
                <w:szCs w:val="22"/>
              </w:rPr>
              <w:t>:</w:t>
            </w:r>
          </w:p>
        </w:tc>
        <w:tc>
          <w:tcPr>
            <w:tcW w:w="7791" w:type="dxa"/>
            <w:shd w:val="clear" w:color="auto" w:fill="auto"/>
          </w:tcPr>
          <w:p w14:paraId="42ED17AA" w14:textId="77777777" w:rsidR="00B376E0" w:rsidRPr="00F83386" w:rsidRDefault="00B376E0" w:rsidP="00294A84">
            <w:pPr>
              <w:spacing w:before="120" w:after="120"/>
              <w:rPr>
                <w:rFonts w:ascii="Calibri" w:hAnsi="Calibri" w:cs="Calibri"/>
                <w:sz w:val="22"/>
                <w:szCs w:val="22"/>
              </w:rPr>
            </w:pPr>
            <w:r>
              <w:rPr>
                <w:rFonts w:ascii="Calibri" w:hAnsi="Calibri" w:cs="Calibri"/>
                <w:sz w:val="22"/>
                <w:szCs w:val="22"/>
              </w:rPr>
              <w:t xml:space="preserve">means the </w:t>
            </w:r>
            <w:r w:rsidRPr="00F83386">
              <w:rPr>
                <w:rFonts w:ascii="Calibri" w:hAnsi="Calibri" w:cs="Calibri"/>
                <w:sz w:val="22"/>
                <w:szCs w:val="22"/>
              </w:rPr>
              <w:t>Residential Tenancies Act 1997 (Vic) as amended from time to time</w:t>
            </w:r>
            <w:r>
              <w:rPr>
                <w:rFonts w:ascii="Calibri" w:hAnsi="Calibri" w:cs="Calibri"/>
                <w:sz w:val="22"/>
                <w:szCs w:val="22"/>
              </w:rPr>
              <w:t>.</w:t>
            </w:r>
          </w:p>
        </w:tc>
      </w:tr>
      <w:tr w:rsidR="00B376E0" w:rsidRPr="00F83386" w14:paraId="0CA174A3" w14:textId="77777777" w:rsidTr="000053ED">
        <w:trPr>
          <w:trHeight w:val="853"/>
        </w:trPr>
        <w:tc>
          <w:tcPr>
            <w:tcW w:w="2127" w:type="dxa"/>
            <w:shd w:val="clear" w:color="auto" w:fill="auto"/>
          </w:tcPr>
          <w:p w14:paraId="68A36852" w14:textId="05630A41" w:rsidR="00B376E0" w:rsidRPr="00F83386" w:rsidRDefault="00E06448" w:rsidP="00294A84">
            <w:pPr>
              <w:spacing w:before="120" w:after="120"/>
              <w:rPr>
                <w:rFonts w:ascii="Calibri" w:hAnsi="Calibri" w:cs="Calibri"/>
                <w:b/>
                <w:sz w:val="22"/>
                <w:szCs w:val="22"/>
              </w:rPr>
            </w:pPr>
            <w:r>
              <w:rPr>
                <w:rFonts w:ascii="Calibri" w:hAnsi="Calibri" w:cs="Calibri"/>
                <w:b/>
                <w:sz w:val="22"/>
                <w:szCs w:val="22"/>
              </w:rPr>
              <w:t>M</w:t>
            </w:r>
            <w:r w:rsidR="00B376E0" w:rsidRPr="00F83386">
              <w:rPr>
                <w:rFonts w:ascii="Calibri" w:hAnsi="Calibri" w:cs="Calibri"/>
                <w:b/>
                <w:sz w:val="22"/>
                <w:szCs w:val="22"/>
              </w:rPr>
              <w:t>arket rent</w:t>
            </w:r>
            <w:r w:rsidR="00B376E0">
              <w:rPr>
                <w:rFonts w:ascii="Calibri" w:hAnsi="Calibri" w:cs="Calibri"/>
                <w:b/>
                <w:sz w:val="22"/>
                <w:szCs w:val="22"/>
              </w:rPr>
              <w:t>:</w:t>
            </w:r>
          </w:p>
        </w:tc>
        <w:tc>
          <w:tcPr>
            <w:tcW w:w="7791" w:type="dxa"/>
            <w:shd w:val="clear" w:color="auto" w:fill="auto"/>
          </w:tcPr>
          <w:p w14:paraId="5FE5F511" w14:textId="77777777" w:rsidR="00B376E0" w:rsidRPr="00F83386" w:rsidRDefault="00B376E0" w:rsidP="00294A84">
            <w:pPr>
              <w:spacing w:before="120" w:after="120"/>
              <w:rPr>
                <w:rFonts w:ascii="Calibri" w:hAnsi="Calibri" w:cs="Calibri"/>
                <w:sz w:val="22"/>
                <w:szCs w:val="22"/>
              </w:rPr>
            </w:pPr>
            <w:r>
              <w:rPr>
                <w:rFonts w:ascii="Calibri" w:hAnsi="Calibri" w:cs="Calibri"/>
                <w:sz w:val="22"/>
                <w:szCs w:val="22"/>
              </w:rPr>
              <w:t xml:space="preserve">means </w:t>
            </w:r>
            <w:r w:rsidRPr="00F83386">
              <w:rPr>
                <w:rFonts w:ascii="Calibri" w:hAnsi="Calibri" w:cs="Calibri"/>
                <w:sz w:val="22"/>
                <w:szCs w:val="22"/>
              </w:rPr>
              <w:t>an estimat</w:t>
            </w:r>
            <w:r>
              <w:rPr>
                <w:rFonts w:ascii="Calibri" w:hAnsi="Calibri" w:cs="Calibri"/>
                <w:sz w:val="22"/>
                <w:szCs w:val="22"/>
              </w:rPr>
              <w:t xml:space="preserve">e </w:t>
            </w:r>
            <w:r w:rsidRPr="00F83386">
              <w:rPr>
                <w:rFonts w:ascii="Calibri" w:hAnsi="Calibri" w:cs="Calibri"/>
                <w:sz w:val="22"/>
                <w:szCs w:val="22"/>
              </w:rPr>
              <w:t xml:space="preserve">of </w:t>
            </w:r>
            <w:r>
              <w:rPr>
                <w:rFonts w:ascii="Calibri" w:hAnsi="Calibri" w:cs="Calibri"/>
                <w:sz w:val="22"/>
                <w:szCs w:val="22"/>
              </w:rPr>
              <w:t xml:space="preserve">the </w:t>
            </w:r>
            <w:r w:rsidRPr="00F83386">
              <w:rPr>
                <w:rFonts w:ascii="Calibri" w:hAnsi="Calibri" w:cs="Calibri"/>
                <w:sz w:val="22"/>
                <w:szCs w:val="22"/>
              </w:rPr>
              <w:t>rent</w:t>
            </w:r>
            <w:r>
              <w:rPr>
                <w:rFonts w:ascii="Calibri" w:hAnsi="Calibri" w:cs="Calibri"/>
                <w:sz w:val="22"/>
                <w:szCs w:val="22"/>
              </w:rPr>
              <w:t xml:space="preserve"> which a property would rent for in the private market and </w:t>
            </w:r>
            <w:r w:rsidRPr="00F83386">
              <w:rPr>
                <w:rFonts w:ascii="Calibri" w:hAnsi="Calibri" w:cs="Calibri"/>
                <w:sz w:val="22"/>
                <w:szCs w:val="22"/>
              </w:rPr>
              <w:t xml:space="preserve">can be </w:t>
            </w:r>
            <w:r>
              <w:rPr>
                <w:rFonts w:ascii="Calibri" w:hAnsi="Calibri" w:cs="Calibri"/>
                <w:sz w:val="22"/>
                <w:szCs w:val="22"/>
              </w:rPr>
              <w:t xml:space="preserve">determined </w:t>
            </w:r>
            <w:r w:rsidRPr="00F83386">
              <w:rPr>
                <w:rFonts w:ascii="Calibri" w:hAnsi="Calibri" w:cs="Calibri"/>
                <w:sz w:val="22"/>
                <w:szCs w:val="22"/>
              </w:rPr>
              <w:t>by:</w:t>
            </w:r>
          </w:p>
          <w:p w14:paraId="13F780DE" w14:textId="77777777" w:rsidR="00B376E0" w:rsidRPr="00FD165D" w:rsidRDefault="00B376E0" w:rsidP="00B376E0">
            <w:pPr>
              <w:pStyle w:val="ListParagraph"/>
              <w:numPr>
                <w:ilvl w:val="0"/>
                <w:numId w:val="15"/>
              </w:numPr>
              <w:spacing w:before="120" w:after="120"/>
              <w:ind w:left="455" w:hanging="455"/>
              <w:contextualSpacing/>
              <w:rPr>
                <w:rFonts w:ascii="Calibri" w:hAnsi="Calibri" w:cs="Calibri"/>
                <w:sz w:val="22"/>
                <w:szCs w:val="22"/>
              </w:rPr>
            </w:pPr>
            <w:r w:rsidRPr="00FD165D">
              <w:rPr>
                <w:rFonts w:ascii="Calibri" w:hAnsi="Calibri" w:cs="Calibri"/>
                <w:sz w:val="22"/>
                <w:szCs w:val="22"/>
              </w:rPr>
              <w:t>a comparison of rents charged by local real estate agents for a property of similar type, age, size, and location;</w:t>
            </w:r>
          </w:p>
          <w:p w14:paraId="19178983" w14:textId="77777777" w:rsidR="00B376E0" w:rsidRPr="00F83386" w:rsidRDefault="00B376E0" w:rsidP="00B376E0">
            <w:pPr>
              <w:pStyle w:val="ListParagraph"/>
              <w:numPr>
                <w:ilvl w:val="0"/>
                <w:numId w:val="15"/>
              </w:numPr>
              <w:spacing w:before="120" w:after="120"/>
              <w:ind w:left="455" w:hanging="455"/>
              <w:contextualSpacing/>
              <w:rPr>
                <w:rFonts w:ascii="Calibri" w:hAnsi="Calibri" w:cs="Calibri"/>
                <w:sz w:val="22"/>
                <w:szCs w:val="22"/>
              </w:rPr>
            </w:pPr>
            <w:r>
              <w:rPr>
                <w:rFonts w:ascii="Calibri" w:hAnsi="Calibri" w:cs="Calibri"/>
                <w:sz w:val="22"/>
                <w:szCs w:val="22"/>
              </w:rPr>
              <w:t>f</w:t>
            </w:r>
            <w:r w:rsidRPr="00F83386">
              <w:rPr>
                <w:rFonts w:ascii="Calibri" w:hAnsi="Calibri" w:cs="Calibri"/>
                <w:sz w:val="22"/>
                <w:szCs w:val="22"/>
              </w:rPr>
              <w:t>ormal valuation</w:t>
            </w:r>
            <w:r>
              <w:rPr>
                <w:rFonts w:ascii="Calibri" w:hAnsi="Calibri" w:cs="Calibri"/>
                <w:sz w:val="22"/>
                <w:szCs w:val="22"/>
              </w:rPr>
              <w:t>; or</w:t>
            </w:r>
          </w:p>
          <w:p w14:paraId="3703174B" w14:textId="77777777" w:rsidR="00B376E0" w:rsidRPr="00F83386" w:rsidRDefault="00B376E0" w:rsidP="00B376E0">
            <w:pPr>
              <w:pStyle w:val="ListParagraph"/>
              <w:numPr>
                <w:ilvl w:val="0"/>
                <w:numId w:val="15"/>
              </w:numPr>
              <w:spacing w:before="120" w:after="120"/>
              <w:ind w:left="455" w:hanging="455"/>
              <w:contextualSpacing/>
              <w:rPr>
                <w:rFonts w:ascii="Calibri" w:hAnsi="Calibri" w:cs="Calibri"/>
                <w:sz w:val="22"/>
                <w:szCs w:val="22"/>
              </w:rPr>
            </w:pPr>
            <w:r>
              <w:rPr>
                <w:rFonts w:ascii="Calibri" w:hAnsi="Calibri" w:cs="Calibri"/>
                <w:sz w:val="22"/>
                <w:szCs w:val="22"/>
              </w:rPr>
              <w:t>adopting the</w:t>
            </w:r>
            <w:r w:rsidRPr="00F83386">
              <w:rPr>
                <w:rFonts w:ascii="Calibri" w:hAnsi="Calibri" w:cs="Calibri"/>
                <w:sz w:val="22"/>
                <w:szCs w:val="22"/>
              </w:rPr>
              <w:t xml:space="preserve"> </w:t>
            </w:r>
            <w:r>
              <w:rPr>
                <w:rFonts w:ascii="Calibri" w:hAnsi="Calibri" w:cs="Calibri"/>
                <w:sz w:val="22"/>
                <w:szCs w:val="22"/>
              </w:rPr>
              <w:t>DFFH</w:t>
            </w:r>
            <w:r w:rsidRPr="00F83386">
              <w:rPr>
                <w:rFonts w:ascii="Calibri" w:hAnsi="Calibri" w:cs="Calibri"/>
                <w:sz w:val="22"/>
                <w:szCs w:val="22"/>
              </w:rPr>
              <w:t xml:space="preserve"> </w:t>
            </w:r>
            <w:r>
              <w:rPr>
                <w:rFonts w:ascii="Calibri" w:hAnsi="Calibri" w:cs="Calibri"/>
                <w:sz w:val="22"/>
                <w:szCs w:val="22"/>
              </w:rPr>
              <w:t>R</w:t>
            </w:r>
            <w:r w:rsidRPr="00F83386">
              <w:rPr>
                <w:rFonts w:ascii="Calibri" w:hAnsi="Calibri" w:cs="Calibri"/>
                <w:sz w:val="22"/>
                <w:szCs w:val="22"/>
              </w:rPr>
              <w:t>ent</w:t>
            </w:r>
            <w:r>
              <w:rPr>
                <w:rFonts w:ascii="Calibri" w:hAnsi="Calibri" w:cs="Calibri"/>
                <w:sz w:val="22"/>
                <w:szCs w:val="22"/>
              </w:rPr>
              <w:t>.</w:t>
            </w:r>
          </w:p>
        </w:tc>
      </w:tr>
    </w:tbl>
    <w:p w14:paraId="29044345" w14:textId="77777777" w:rsidR="00B376E0" w:rsidRDefault="00B376E0" w:rsidP="00B376E0">
      <w:pPr>
        <w:pStyle w:val="ListParagraph"/>
        <w:ind w:left="0"/>
        <w:contextualSpacing/>
        <w:rPr>
          <w:rFonts w:ascii="Calibri" w:hAnsi="Calibri" w:cs="Calibri"/>
          <w:sz w:val="22"/>
          <w:szCs w:val="22"/>
        </w:rPr>
      </w:pPr>
    </w:p>
    <w:p w14:paraId="23956E6F" w14:textId="77777777" w:rsidR="00B376E0" w:rsidRDefault="00B376E0" w:rsidP="00B376E0">
      <w:pPr>
        <w:pStyle w:val="ListParagraph"/>
        <w:numPr>
          <w:ilvl w:val="0"/>
          <w:numId w:val="2"/>
        </w:numPr>
        <w:contextualSpacing/>
        <w:rPr>
          <w:rFonts w:ascii="Calibri" w:hAnsi="Calibri" w:cs="Calibri"/>
          <w:b/>
          <w:bCs/>
          <w:sz w:val="32"/>
          <w:szCs w:val="32"/>
        </w:rPr>
      </w:pPr>
      <w:r>
        <w:rPr>
          <w:rFonts w:ascii="Calibri" w:hAnsi="Calibri" w:cs="Calibri"/>
          <w:b/>
          <w:bCs/>
          <w:sz w:val="32"/>
          <w:szCs w:val="32"/>
        </w:rPr>
        <w:t>POLICY REVIEW AND VERSION CONTROL</w:t>
      </w:r>
    </w:p>
    <w:p w14:paraId="36BA4CED" w14:textId="77777777" w:rsidR="00B376E0" w:rsidRPr="003B2233" w:rsidRDefault="00B376E0" w:rsidP="00B376E0">
      <w:pPr>
        <w:pStyle w:val="ListParagraph"/>
        <w:ind w:left="360"/>
        <w:contextualSpacing/>
        <w:rPr>
          <w:rFonts w:ascii="Calibri" w:hAnsi="Calibri" w:cs="Calibri"/>
          <w:sz w:val="22"/>
          <w:szCs w:val="22"/>
        </w:rPr>
      </w:pPr>
    </w:p>
    <w:tbl>
      <w:tblPr>
        <w:tblW w:w="10031" w:type="dxa"/>
        <w:shd w:val="clear" w:color="auto" w:fill="E0E0E0"/>
        <w:tblLook w:val="01E0" w:firstRow="1" w:lastRow="1" w:firstColumn="1" w:lastColumn="1" w:noHBand="0" w:noVBand="0"/>
      </w:tblPr>
      <w:tblGrid>
        <w:gridCol w:w="2802"/>
        <w:gridCol w:w="1984"/>
        <w:gridCol w:w="3119"/>
        <w:gridCol w:w="2126"/>
      </w:tblGrid>
      <w:tr w:rsidR="00B376E0" w:rsidRPr="00CD4508" w14:paraId="27D29963" w14:textId="77777777" w:rsidTr="00294A84">
        <w:tc>
          <w:tcPr>
            <w:tcW w:w="2802" w:type="dxa"/>
            <w:shd w:val="clear" w:color="auto" w:fill="E0E0E0"/>
            <w:hideMark/>
          </w:tcPr>
          <w:p w14:paraId="2425E735" w14:textId="77777777" w:rsidR="00B376E0" w:rsidRPr="00CD4508" w:rsidRDefault="00B376E0" w:rsidP="00294A84">
            <w:pPr>
              <w:pStyle w:val="PlainText"/>
              <w:spacing w:before="0" w:after="0"/>
              <w:rPr>
                <w:rFonts w:ascii="Calibri" w:hAnsi="Calibri" w:cs="Calibri"/>
                <w:szCs w:val="22"/>
                <w:lang w:val="en-US"/>
              </w:rPr>
            </w:pPr>
            <w:r w:rsidRPr="00CD4508">
              <w:rPr>
                <w:rFonts w:ascii="Calibri" w:hAnsi="Calibri" w:cs="Calibri"/>
                <w:szCs w:val="22"/>
                <w:lang w:val="en-US" w:eastAsia="en-US"/>
              </w:rPr>
              <w:t>Policy number</w:t>
            </w:r>
          </w:p>
        </w:tc>
        <w:tc>
          <w:tcPr>
            <w:tcW w:w="1984" w:type="dxa"/>
            <w:shd w:val="clear" w:color="auto" w:fill="E0E0E0"/>
            <w:hideMark/>
          </w:tcPr>
          <w:p w14:paraId="5D239E30" w14:textId="77777777" w:rsidR="00B376E0" w:rsidRPr="00CD4508" w:rsidRDefault="00B376E0" w:rsidP="00294A84">
            <w:pPr>
              <w:pStyle w:val="PlainText"/>
              <w:spacing w:before="0" w:after="0"/>
              <w:rPr>
                <w:rFonts w:ascii="Calibri" w:hAnsi="Calibri" w:cs="Calibri"/>
                <w:color w:val="808080"/>
                <w:szCs w:val="22"/>
                <w:lang w:val="en-US"/>
              </w:rPr>
            </w:pPr>
            <w:r w:rsidRPr="00CD4508">
              <w:rPr>
                <w:rFonts w:ascii="Calibri" w:hAnsi="Calibri" w:cs="Calibri"/>
                <w:color w:val="808080"/>
                <w:szCs w:val="22"/>
                <w:lang w:val="en-US"/>
              </w:rPr>
              <w:t>POH1804</w:t>
            </w:r>
          </w:p>
        </w:tc>
        <w:tc>
          <w:tcPr>
            <w:tcW w:w="3119" w:type="dxa"/>
            <w:shd w:val="clear" w:color="auto" w:fill="E0E0E0"/>
            <w:hideMark/>
          </w:tcPr>
          <w:p w14:paraId="3A7891A5" w14:textId="77777777" w:rsidR="00B376E0" w:rsidRPr="00CD4508" w:rsidRDefault="00B376E0" w:rsidP="00294A84">
            <w:pPr>
              <w:pStyle w:val="PlainText"/>
              <w:spacing w:before="0" w:after="0"/>
              <w:rPr>
                <w:rFonts w:ascii="Calibri" w:hAnsi="Calibri" w:cs="Calibri"/>
                <w:szCs w:val="22"/>
                <w:lang w:val="en-US"/>
              </w:rPr>
            </w:pPr>
            <w:r w:rsidRPr="00CD4508">
              <w:rPr>
                <w:rFonts w:ascii="Calibri" w:hAnsi="Calibri" w:cs="Calibri"/>
                <w:szCs w:val="22"/>
                <w:lang w:val="en-US" w:eastAsia="en-US"/>
              </w:rPr>
              <w:t>Version</w:t>
            </w:r>
          </w:p>
        </w:tc>
        <w:tc>
          <w:tcPr>
            <w:tcW w:w="2126" w:type="dxa"/>
            <w:shd w:val="clear" w:color="auto" w:fill="E0E0E0"/>
            <w:hideMark/>
          </w:tcPr>
          <w:p w14:paraId="3E784A99" w14:textId="584B5F3F" w:rsidR="00B376E0" w:rsidRPr="00CD4508" w:rsidRDefault="00B376E0" w:rsidP="00294A84">
            <w:pPr>
              <w:pStyle w:val="PlainText"/>
              <w:spacing w:before="0" w:after="0"/>
              <w:rPr>
                <w:rFonts w:ascii="Calibri" w:hAnsi="Calibri" w:cs="Calibri"/>
                <w:color w:val="808080"/>
                <w:szCs w:val="22"/>
                <w:lang w:val="en-US"/>
              </w:rPr>
            </w:pPr>
            <w:r w:rsidRPr="00CD4508">
              <w:rPr>
                <w:rFonts w:ascii="Calibri" w:hAnsi="Calibri" w:cs="Calibri"/>
                <w:color w:val="808080"/>
                <w:szCs w:val="22"/>
                <w:lang w:val="en-US" w:eastAsia="en-US"/>
              </w:rPr>
              <w:t>0.</w:t>
            </w:r>
            <w:r w:rsidR="006B1E2F">
              <w:rPr>
                <w:rFonts w:ascii="Calibri" w:hAnsi="Calibri" w:cs="Calibri"/>
                <w:color w:val="808080"/>
                <w:szCs w:val="22"/>
                <w:lang w:val="en-US" w:eastAsia="en-US"/>
              </w:rPr>
              <w:t>5</w:t>
            </w:r>
          </w:p>
        </w:tc>
      </w:tr>
      <w:tr w:rsidR="00B376E0" w:rsidRPr="00CD4508" w14:paraId="7DBFEFC0" w14:textId="77777777" w:rsidTr="00294A84">
        <w:tc>
          <w:tcPr>
            <w:tcW w:w="2802" w:type="dxa"/>
            <w:shd w:val="clear" w:color="auto" w:fill="E0E0E0"/>
            <w:hideMark/>
          </w:tcPr>
          <w:p w14:paraId="55534195" w14:textId="77777777" w:rsidR="00B376E0" w:rsidRPr="00CD4508" w:rsidRDefault="00B376E0" w:rsidP="00294A84">
            <w:pPr>
              <w:pStyle w:val="PlainText"/>
              <w:spacing w:before="0" w:after="0"/>
              <w:rPr>
                <w:rFonts w:ascii="Calibri" w:hAnsi="Calibri" w:cs="Calibri"/>
                <w:szCs w:val="22"/>
                <w:lang w:val="en-US"/>
              </w:rPr>
            </w:pPr>
            <w:r w:rsidRPr="00CD4508">
              <w:rPr>
                <w:rFonts w:ascii="Calibri" w:hAnsi="Calibri" w:cs="Calibri"/>
                <w:szCs w:val="22"/>
                <w:lang w:val="en-US" w:eastAsia="en-US"/>
              </w:rPr>
              <w:t xml:space="preserve">Approved by the Board on </w:t>
            </w:r>
          </w:p>
        </w:tc>
        <w:tc>
          <w:tcPr>
            <w:tcW w:w="1984" w:type="dxa"/>
            <w:shd w:val="clear" w:color="auto" w:fill="E0E0E0"/>
            <w:hideMark/>
          </w:tcPr>
          <w:p w14:paraId="7607CA11" w14:textId="55D19EFF" w:rsidR="00B376E0" w:rsidRPr="00CD4508" w:rsidRDefault="00BB3A4D" w:rsidP="00294A84">
            <w:pPr>
              <w:pStyle w:val="PlainText"/>
              <w:spacing w:before="0" w:after="0"/>
              <w:rPr>
                <w:rFonts w:ascii="Calibri" w:hAnsi="Calibri" w:cs="Calibri"/>
                <w:color w:val="808080"/>
                <w:szCs w:val="22"/>
                <w:lang w:val="en-US"/>
              </w:rPr>
            </w:pPr>
            <w:r>
              <w:rPr>
                <w:rFonts w:ascii="Calibri" w:hAnsi="Calibri" w:cs="Calibri"/>
                <w:color w:val="808080"/>
                <w:szCs w:val="22"/>
                <w:lang w:val="en-US" w:eastAsia="en-US"/>
              </w:rPr>
              <w:t>26/07/22</w:t>
            </w:r>
          </w:p>
        </w:tc>
        <w:tc>
          <w:tcPr>
            <w:tcW w:w="3119" w:type="dxa"/>
            <w:shd w:val="clear" w:color="auto" w:fill="E0E0E0"/>
          </w:tcPr>
          <w:p w14:paraId="23DFDF52" w14:textId="0AECA767" w:rsidR="00B376E0" w:rsidRPr="00CD4508" w:rsidRDefault="006B1E2F" w:rsidP="00294A84">
            <w:pPr>
              <w:pStyle w:val="PlainText"/>
              <w:spacing w:before="0" w:after="0"/>
              <w:rPr>
                <w:rFonts w:ascii="Calibri" w:hAnsi="Calibri" w:cs="Calibri"/>
                <w:szCs w:val="22"/>
                <w:lang w:val="en-US"/>
              </w:rPr>
            </w:pPr>
            <w:r>
              <w:rPr>
                <w:rFonts w:ascii="Calibri" w:hAnsi="Calibri" w:cs="Calibri"/>
                <w:szCs w:val="22"/>
                <w:lang w:val="en-US"/>
              </w:rPr>
              <w:t xml:space="preserve">Board Minute ref. no. </w:t>
            </w:r>
          </w:p>
        </w:tc>
        <w:tc>
          <w:tcPr>
            <w:tcW w:w="2126" w:type="dxa"/>
            <w:shd w:val="clear" w:color="auto" w:fill="E0E0E0"/>
          </w:tcPr>
          <w:p w14:paraId="5E870B0E" w14:textId="575A5091" w:rsidR="00B376E0" w:rsidRPr="00CD4508" w:rsidRDefault="00B376E0" w:rsidP="00294A84">
            <w:pPr>
              <w:pStyle w:val="PlainText"/>
              <w:spacing w:before="0" w:after="0"/>
              <w:rPr>
                <w:rFonts w:ascii="Calibri" w:hAnsi="Calibri" w:cs="Calibri"/>
                <w:color w:val="808080"/>
                <w:szCs w:val="22"/>
                <w:lang w:val="en-US"/>
              </w:rPr>
            </w:pPr>
            <w:r>
              <w:rPr>
                <w:rFonts w:ascii="Calibri" w:hAnsi="Calibri" w:cs="Calibri"/>
                <w:color w:val="808080"/>
                <w:szCs w:val="22"/>
                <w:lang w:val="en-US"/>
              </w:rPr>
              <w:t xml:space="preserve"> </w:t>
            </w:r>
            <w:r w:rsidR="00CA4C85">
              <w:rPr>
                <w:rFonts w:ascii="Calibri" w:hAnsi="Calibri" w:cs="Calibri"/>
                <w:color w:val="808080"/>
                <w:szCs w:val="22"/>
                <w:lang w:val="en-US"/>
              </w:rPr>
              <w:t>2.3</w:t>
            </w:r>
          </w:p>
        </w:tc>
      </w:tr>
      <w:tr w:rsidR="00B376E0" w:rsidRPr="00CD4508" w14:paraId="2985B555" w14:textId="77777777" w:rsidTr="00294A84">
        <w:tc>
          <w:tcPr>
            <w:tcW w:w="2802" w:type="dxa"/>
            <w:shd w:val="clear" w:color="auto" w:fill="E0E0E0"/>
          </w:tcPr>
          <w:p w14:paraId="475D8685" w14:textId="77777777" w:rsidR="00B376E0" w:rsidRPr="00CD4508" w:rsidRDefault="00B376E0" w:rsidP="00294A84">
            <w:pPr>
              <w:pStyle w:val="PlainText"/>
              <w:spacing w:before="0" w:after="0"/>
              <w:rPr>
                <w:rFonts w:ascii="Calibri" w:hAnsi="Calibri" w:cs="Calibri"/>
                <w:szCs w:val="22"/>
                <w:lang w:val="en-US"/>
              </w:rPr>
            </w:pPr>
            <w:r w:rsidRPr="00CD4508">
              <w:rPr>
                <w:rFonts w:ascii="Calibri" w:hAnsi="Calibri" w:cs="Calibri"/>
                <w:szCs w:val="22"/>
                <w:lang w:val="en-US" w:eastAsia="en-US"/>
              </w:rPr>
              <w:t>Responsible Person</w:t>
            </w:r>
          </w:p>
        </w:tc>
        <w:tc>
          <w:tcPr>
            <w:tcW w:w="1984" w:type="dxa"/>
            <w:shd w:val="clear" w:color="auto" w:fill="E0E0E0"/>
          </w:tcPr>
          <w:p w14:paraId="69FE7A33" w14:textId="77777777" w:rsidR="00B376E0" w:rsidRPr="00CD4508" w:rsidRDefault="00B376E0" w:rsidP="00294A84">
            <w:pPr>
              <w:pStyle w:val="PlainText"/>
              <w:spacing w:before="0" w:after="0"/>
              <w:rPr>
                <w:rFonts w:ascii="Calibri" w:hAnsi="Calibri" w:cs="Calibri"/>
                <w:color w:val="808080"/>
                <w:szCs w:val="22"/>
                <w:lang w:val="en-US"/>
              </w:rPr>
            </w:pPr>
            <w:r w:rsidRPr="00CD4508">
              <w:rPr>
                <w:rFonts w:ascii="Calibri" w:hAnsi="Calibri" w:cs="Calibri"/>
                <w:color w:val="808080"/>
                <w:szCs w:val="22"/>
                <w:lang w:val="en-US"/>
              </w:rPr>
              <w:t>CEO</w:t>
            </w:r>
          </w:p>
        </w:tc>
        <w:tc>
          <w:tcPr>
            <w:tcW w:w="3119" w:type="dxa"/>
            <w:shd w:val="clear" w:color="auto" w:fill="E0E0E0"/>
          </w:tcPr>
          <w:p w14:paraId="62A2E738" w14:textId="77777777" w:rsidR="00B376E0" w:rsidRPr="00CD4508" w:rsidRDefault="00B376E0" w:rsidP="00294A84">
            <w:pPr>
              <w:pStyle w:val="PlainText"/>
              <w:spacing w:before="0" w:after="0"/>
              <w:rPr>
                <w:rFonts w:ascii="Calibri" w:hAnsi="Calibri" w:cs="Calibri"/>
                <w:szCs w:val="22"/>
                <w:lang w:val="en-US"/>
              </w:rPr>
            </w:pPr>
            <w:r w:rsidRPr="00CD4508">
              <w:rPr>
                <w:rFonts w:ascii="Calibri" w:hAnsi="Calibri" w:cs="Calibri"/>
                <w:szCs w:val="22"/>
                <w:lang w:val="en-US"/>
              </w:rPr>
              <w:t>Person responsible for review</w:t>
            </w:r>
          </w:p>
        </w:tc>
        <w:tc>
          <w:tcPr>
            <w:tcW w:w="2126" w:type="dxa"/>
            <w:shd w:val="clear" w:color="auto" w:fill="E0E0E0"/>
          </w:tcPr>
          <w:p w14:paraId="1E8D3061" w14:textId="77777777" w:rsidR="00B376E0" w:rsidRPr="00CD4508" w:rsidRDefault="00B376E0" w:rsidP="00294A84">
            <w:pPr>
              <w:pStyle w:val="PlainText"/>
              <w:spacing w:before="0" w:after="0"/>
              <w:rPr>
                <w:rFonts w:ascii="Calibri" w:hAnsi="Calibri" w:cs="Calibri"/>
                <w:color w:val="808080"/>
                <w:szCs w:val="22"/>
                <w:lang w:val="en-US"/>
              </w:rPr>
            </w:pPr>
            <w:r w:rsidRPr="00CD4508">
              <w:rPr>
                <w:rFonts w:ascii="Calibri" w:hAnsi="Calibri" w:cs="Calibri"/>
                <w:color w:val="808080"/>
                <w:szCs w:val="22"/>
                <w:lang w:val="en-US"/>
              </w:rPr>
              <w:t>Operations Manager</w:t>
            </w:r>
          </w:p>
        </w:tc>
      </w:tr>
      <w:tr w:rsidR="00B376E0" w:rsidRPr="00CD4508" w14:paraId="5A454CD0" w14:textId="77777777" w:rsidTr="00294A84">
        <w:tc>
          <w:tcPr>
            <w:tcW w:w="2802" w:type="dxa"/>
            <w:shd w:val="clear" w:color="auto" w:fill="E0E0E0"/>
          </w:tcPr>
          <w:p w14:paraId="098A4B49" w14:textId="77777777" w:rsidR="00B376E0" w:rsidRPr="00CD4508" w:rsidRDefault="00B376E0" w:rsidP="00294A84">
            <w:pPr>
              <w:pStyle w:val="PlainText"/>
              <w:spacing w:before="0" w:after="0"/>
              <w:rPr>
                <w:rFonts w:ascii="Calibri" w:hAnsi="Calibri" w:cs="Calibri"/>
                <w:szCs w:val="22"/>
                <w:lang w:val="en-US"/>
              </w:rPr>
            </w:pPr>
            <w:r>
              <w:rPr>
                <w:rFonts w:ascii="Calibri" w:hAnsi="Calibri" w:cs="Calibri"/>
                <w:szCs w:val="22"/>
                <w:lang w:val="en-US"/>
              </w:rPr>
              <w:t xml:space="preserve">Reviewed on </w:t>
            </w:r>
          </w:p>
        </w:tc>
        <w:tc>
          <w:tcPr>
            <w:tcW w:w="1984" w:type="dxa"/>
            <w:shd w:val="clear" w:color="auto" w:fill="E0E0E0"/>
          </w:tcPr>
          <w:p w14:paraId="1976D4FD" w14:textId="4A1715D8" w:rsidR="00B376E0" w:rsidRPr="00CD4508" w:rsidRDefault="00574C0B" w:rsidP="00294A84">
            <w:pPr>
              <w:pStyle w:val="PlainText"/>
              <w:spacing w:before="0" w:after="0"/>
              <w:rPr>
                <w:rFonts w:ascii="Calibri" w:hAnsi="Calibri" w:cs="Calibri"/>
                <w:color w:val="808080"/>
                <w:szCs w:val="22"/>
                <w:lang w:val="en-US"/>
              </w:rPr>
            </w:pPr>
            <w:r>
              <w:rPr>
                <w:rFonts w:ascii="Calibri" w:hAnsi="Calibri" w:cs="Calibri"/>
                <w:color w:val="808080"/>
                <w:szCs w:val="22"/>
                <w:lang w:val="en-US"/>
              </w:rPr>
              <w:t>1</w:t>
            </w:r>
            <w:r w:rsidR="00254F9B">
              <w:rPr>
                <w:rFonts w:ascii="Calibri" w:hAnsi="Calibri" w:cs="Calibri"/>
                <w:color w:val="808080"/>
                <w:szCs w:val="22"/>
                <w:lang w:val="en-US"/>
              </w:rPr>
              <w:t>8/07/22</w:t>
            </w:r>
          </w:p>
        </w:tc>
        <w:tc>
          <w:tcPr>
            <w:tcW w:w="3119" w:type="dxa"/>
            <w:shd w:val="clear" w:color="auto" w:fill="E0E0E0"/>
          </w:tcPr>
          <w:p w14:paraId="7ED59A7D" w14:textId="77777777" w:rsidR="00B376E0" w:rsidRPr="00CD4508" w:rsidRDefault="00B376E0" w:rsidP="00294A84">
            <w:pPr>
              <w:pStyle w:val="PlainText"/>
              <w:spacing w:before="0" w:after="0"/>
              <w:rPr>
                <w:rFonts w:ascii="Calibri" w:hAnsi="Calibri" w:cs="Calibri"/>
                <w:szCs w:val="22"/>
                <w:lang w:val="en-US"/>
              </w:rPr>
            </w:pPr>
            <w:r w:rsidRPr="00CD4508">
              <w:rPr>
                <w:rFonts w:ascii="Calibri" w:hAnsi="Calibri" w:cs="Calibri"/>
                <w:szCs w:val="22"/>
                <w:lang w:val="en-US" w:eastAsia="en-US"/>
              </w:rPr>
              <w:t>Schedule review date</w:t>
            </w:r>
          </w:p>
        </w:tc>
        <w:tc>
          <w:tcPr>
            <w:tcW w:w="2126" w:type="dxa"/>
            <w:shd w:val="clear" w:color="auto" w:fill="E0E0E0"/>
          </w:tcPr>
          <w:p w14:paraId="6394B088" w14:textId="36306845" w:rsidR="00B376E0" w:rsidRPr="00CD4508" w:rsidRDefault="00254F9B" w:rsidP="00294A84">
            <w:pPr>
              <w:pStyle w:val="PlainText"/>
              <w:spacing w:before="0" w:after="0"/>
              <w:rPr>
                <w:rFonts w:ascii="Calibri" w:hAnsi="Calibri" w:cs="Calibri"/>
                <w:color w:val="808080"/>
                <w:szCs w:val="22"/>
                <w:lang w:val="en-US"/>
              </w:rPr>
            </w:pPr>
            <w:r>
              <w:rPr>
                <w:rFonts w:ascii="Calibri" w:hAnsi="Calibri" w:cs="Calibri"/>
                <w:color w:val="808080"/>
                <w:szCs w:val="22"/>
                <w:lang w:val="en-US" w:eastAsia="en-US"/>
              </w:rPr>
              <w:t>25/07/25</w:t>
            </w:r>
          </w:p>
        </w:tc>
      </w:tr>
    </w:tbl>
    <w:p w14:paraId="31D272FF" w14:textId="77777777" w:rsidR="00E06448" w:rsidRDefault="00E06448" w:rsidP="00E06448">
      <w:pPr>
        <w:pStyle w:val="ListParagraph"/>
        <w:spacing w:after="200"/>
        <w:ind w:left="0"/>
        <w:contextualSpacing/>
        <w:rPr>
          <w:rFonts w:ascii="Calibri" w:hAnsi="Calibri" w:cs="Calibri"/>
          <w:sz w:val="22"/>
          <w:szCs w:val="22"/>
        </w:rPr>
        <w:sectPr w:rsidR="00E06448" w:rsidSect="0082014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p>
    <w:p w14:paraId="2FA0A79F" w14:textId="405C4B4E" w:rsidR="00B376E0" w:rsidRPr="00E06448" w:rsidRDefault="00E06448" w:rsidP="00E06448">
      <w:pPr>
        <w:pStyle w:val="ListParagraph"/>
        <w:spacing w:after="200"/>
        <w:ind w:left="0"/>
        <w:contextualSpacing/>
        <w:rPr>
          <w:rFonts w:ascii="Calibri" w:hAnsi="Calibri" w:cs="Calibri"/>
          <w:b/>
          <w:bCs/>
          <w:sz w:val="22"/>
          <w:szCs w:val="22"/>
        </w:rPr>
      </w:pPr>
      <w:r w:rsidRPr="00E06448">
        <w:rPr>
          <w:rFonts w:ascii="Calibri" w:hAnsi="Calibri" w:cs="Calibri"/>
          <w:b/>
          <w:bCs/>
          <w:sz w:val="22"/>
          <w:szCs w:val="22"/>
        </w:rPr>
        <w:lastRenderedPageBreak/>
        <w:t xml:space="preserve">Appendix A </w:t>
      </w:r>
      <w:r w:rsidR="00FB3242" w:rsidRPr="00FB3242">
        <w:rPr>
          <w:rFonts w:ascii="Calibri" w:hAnsi="Calibri" w:cs="Calibri"/>
          <w:b/>
          <w:bCs/>
          <w:sz w:val="22"/>
          <w:lang w:eastAsia="en-GB"/>
        </w:rPr>
        <w:t>Example Rent Calculation</w:t>
      </w:r>
    </w:p>
    <w:tbl>
      <w:tblPr>
        <w:tblStyle w:val="TableGrid"/>
        <w:tblW w:w="0" w:type="auto"/>
        <w:tblLook w:val="04A0" w:firstRow="1" w:lastRow="0" w:firstColumn="1" w:lastColumn="0" w:noHBand="0" w:noVBand="1"/>
      </w:tblPr>
      <w:tblGrid>
        <w:gridCol w:w="562"/>
        <w:gridCol w:w="2552"/>
        <w:gridCol w:w="4678"/>
        <w:gridCol w:w="1224"/>
      </w:tblGrid>
      <w:tr w:rsidR="00172AA6" w:rsidRPr="00B420E5" w14:paraId="5BBAD284" w14:textId="77777777" w:rsidTr="00985018">
        <w:tc>
          <w:tcPr>
            <w:tcW w:w="562" w:type="dxa"/>
            <w:shd w:val="clear" w:color="auto" w:fill="385623" w:themeFill="accent6" w:themeFillShade="80"/>
          </w:tcPr>
          <w:p w14:paraId="35635AD9" w14:textId="77777777" w:rsidR="00172AA6" w:rsidRPr="00B420E5" w:rsidRDefault="00172AA6" w:rsidP="00985018">
            <w:pPr>
              <w:spacing w:before="120" w:after="120"/>
              <w:rPr>
                <w:rFonts w:asciiTheme="minorHAnsi" w:hAnsiTheme="minorHAnsi" w:cstheme="minorHAnsi"/>
                <w:color w:val="FFFFFF" w:themeColor="background1"/>
                <w:sz w:val="22"/>
                <w:szCs w:val="22"/>
              </w:rPr>
            </w:pPr>
            <w:r w:rsidRPr="00B420E5">
              <w:rPr>
                <w:rFonts w:asciiTheme="minorHAnsi" w:hAnsiTheme="minorHAnsi" w:cstheme="minorHAnsi"/>
                <w:color w:val="FFFFFF" w:themeColor="background1"/>
                <w:sz w:val="22"/>
                <w:szCs w:val="22"/>
              </w:rPr>
              <w:t>#</w:t>
            </w:r>
          </w:p>
        </w:tc>
        <w:tc>
          <w:tcPr>
            <w:tcW w:w="2552" w:type="dxa"/>
            <w:shd w:val="clear" w:color="auto" w:fill="385623" w:themeFill="accent6" w:themeFillShade="80"/>
          </w:tcPr>
          <w:p w14:paraId="3FA0F46C" w14:textId="77777777" w:rsidR="00172AA6" w:rsidRPr="00B420E5" w:rsidRDefault="00172AA6" w:rsidP="00985018">
            <w:pPr>
              <w:spacing w:before="120" w:after="120"/>
              <w:rPr>
                <w:rFonts w:asciiTheme="minorHAnsi" w:hAnsiTheme="minorHAnsi" w:cstheme="minorHAnsi"/>
                <w:color w:val="FFFFFF" w:themeColor="background1"/>
                <w:sz w:val="22"/>
                <w:szCs w:val="22"/>
              </w:rPr>
            </w:pPr>
            <w:r w:rsidRPr="00B420E5">
              <w:rPr>
                <w:rFonts w:asciiTheme="minorHAnsi" w:hAnsiTheme="minorHAnsi" w:cstheme="minorHAnsi"/>
                <w:color w:val="FFFFFF" w:themeColor="background1"/>
                <w:sz w:val="22"/>
                <w:szCs w:val="22"/>
              </w:rPr>
              <w:t>Category</w:t>
            </w:r>
          </w:p>
        </w:tc>
        <w:tc>
          <w:tcPr>
            <w:tcW w:w="4678" w:type="dxa"/>
            <w:shd w:val="clear" w:color="auto" w:fill="385623" w:themeFill="accent6" w:themeFillShade="80"/>
          </w:tcPr>
          <w:p w14:paraId="1CCDB8EA" w14:textId="77777777" w:rsidR="00172AA6" w:rsidRPr="00B420E5" w:rsidRDefault="00172AA6" w:rsidP="00985018">
            <w:pPr>
              <w:spacing w:before="120" w:after="120"/>
              <w:rPr>
                <w:rFonts w:asciiTheme="minorHAnsi" w:hAnsiTheme="minorHAnsi" w:cstheme="minorHAnsi"/>
                <w:color w:val="FFFFFF" w:themeColor="background1"/>
                <w:sz w:val="22"/>
                <w:szCs w:val="22"/>
              </w:rPr>
            </w:pPr>
            <w:r w:rsidRPr="00B420E5">
              <w:rPr>
                <w:rFonts w:asciiTheme="minorHAnsi" w:hAnsiTheme="minorHAnsi" w:cstheme="minorHAnsi"/>
                <w:color w:val="FFFFFF" w:themeColor="background1"/>
                <w:sz w:val="22"/>
                <w:szCs w:val="22"/>
              </w:rPr>
              <w:t>Explanation</w:t>
            </w:r>
          </w:p>
        </w:tc>
        <w:tc>
          <w:tcPr>
            <w:tcW w:w="1224" w:type="dxa"/>
            <w:shd w:val="clear" w:color="auto" w:fill="385623" w:themeFill="accent6" w:themeFillShade="80"/>
          </w:tcPr>
          <w:p w14:paraId="1B3BAF25" w14:textId="77777777" w:rsidR="00172AA6" w:rsidRPr="00B420E5" w:rsidRDefault="00172AA6" w:rsidP="00985018">
            <w:pPr>
              <w:spacing w:before="120" w:after="120"/>
              <w:jc w:val="center"/>
              <w:rPr>
                <w:rFonts w:asciiTheme="minorHAnsi" w:hAnsiTheme="minorHAnsi" w:cstheme="minorHAnsi"/>
                <w:color w:val="FFFFFF" w:themeColor="background1"/>
                <w:sz w:val="22"/>
                <w:szCs w:val="22"/>
              </w:rPr>
            </w:pPr>
            <w:r w:rsidRPr="00B420E5">
              <w:rPr>
                <w:rFonts w:asciiTheme="minorHAnsi" w:hAnsiTheme="minorHAnsi" w:cstheme="minorHAnsi"/>
                <w:color w:val="FFFFFF" w:themeColor="background1"/>
                <w:sz w:val="22"/>
                <w:szCs w:val="22"/>
              </w:rPr>
              <w:t>Amount per week*</w:t>
            </w:r>
          </w:p>
        </w:tc>
      </w:tr>
      <w:tr w:rsidR="00172AA6" w:rsidRPr="00B420E5" w14:paraId="1764F6D1" w14:textId="77777777" w:rsidTr="00985018">
        <w:tc>
          <w:tcPr>
            <w:tcW w:w="562" w:type="dxa"/>
          </w:tcPr>
          <w:p w14:paraId="292AF503"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A</w:t>
            </w:r>
          </w:p>
        </w:tc>
        <w:tc>
          <w:tcPr>
            <w:tcW w:w="2552" w:type="dxa"/>
          </w:tcPr>
          <w:p w14:paraId="70062C82"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Market rent</w:t>
            </w:r>
          </w:p>
        </w:tc>
        <w:tc>
          <w:tcPr>
            <w:tcW w:w="4678" w:type="dxa"/>
          </w:tcPr>
          <w:p w14:paraId="37E66ED0"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The amount of rent charged per week if the property was rented in the private rental market.</w:t>
            </w:r>
          </w:p>
        </w:tc>
        <w:tc>
          <w:tcPr>
            <w:tcW w:w="1224" w:type="dxa"/>
          </w:tcPr>
          <w:p w14:paraId="1E35F782"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$400</w:t>
            </w:r>
          </w:p>
        </w:tc>
      </w:tr>
      <w:tr w:rsidR="00172AA6" w:rsidRPr="00B420E5" w14:paraId="2BAB1D38" w14:textId="77777777" w:rsidTr="00985018">
        <w:tc>
          <w:tcPr>
            <w:tcW w:w="562" w:type="dxa"/>
          </w:tcPr>
          <w:p w14:paraId="175D796F"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B</w:t>
            </w:r>
          </w:p>
        </w:tc>
        <w:tc>
          <w:tcPr>
            <w:tcW w:w="2552" w:type="dxa"/>
          </w:tcPr>
          <w:p w14:paraId="78085211"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Market rent cap</w:t>
            </w:r>
          </w:p>
        </w:tc>
        <w:tc>
          <w:tcPr>
            <w:tcW w:w="4678" w:type="dxa"/>
          </w:tcPr>
          <w:p w14:paraId="72413F99"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WPI caps the weekly rent at 74.99% of market rent (excluding service charges).</w:t>
            </w:r>
          </w:p>
        </w:tc>
        <w:tc>
          <w:tcPr>
            <w:tcW w:w="1224" w:type="dxa"/>
          </w:tcPr>
          <w:p w14:paraId="4C31C04D"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$299.96</w:t>
            </w:r>
          </w:p>
        </w:tc>
      </w:tr>
      <w:tr w:rsidR="00172AA6" w:rsidRPr="00B420E5" w14:paraId="0E44CC08" w14:textId="77777777" w:rsidTr="00985018">
        <w:tc>
          <w:tcPr>
            <w:tcW w:w="562" w:type="dxa"/>
          </w:tcPr>
          <w:p w14:paraId="5E8CBF9D"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C</w:t>
            </w:r>
          </w:p>
        </w:tc>
        <w:tc>
          <w:tcPr>
            <w:tcW w:w="2552" w:type="dxa"/>
          </w:tcPr>
          <w:p w14:paraId="589FD4CF"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 xml:space="preserve">Accessible household income </w:t>
            </w:r>
          </w:p>
        </w:tc>
        <w:tc>
          <w:tcPr>
            <w:tcW w:w="4678" w:type="dxa"/>
          </w:tcPr>
          <w:p w14:paraId="06B3DCD3"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 xml:space="preserve">30% of assessable household income is calculated as part of the weekly rent payment. </w:t>
            </w:r>
          </w:p>
          <w:p w14:paraId="3D2B330A"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In this example the total household income is $430.30 (DSP for a single person)</w:t>
            </w:r>
          </w:p>
        </w:tc>
        <w:tc>
          <w:tcPr>
            <w:tcW w:w="1224" w:type="dxa"/>
          </w:tcPr>
          <w:p w14:paraId="3D51DCCD" w14:textId="77777777" w:rsidR="00172AA6" w:rsidRPr="00B420E5" w:rsidRDefault="00172AA6" w:rsidP="00985018">
            <w:pPr>
              <w:spacing w:before="120" w:after="120"/>
              <w:rPr>
                <w:rFonts w:asciiTheme="minorHAnsi" w:hAnsiTheme="minorHAnsi" w:cstheme="minorHAnsi"/>
                <w:sz w:val="22"/>
                <w:szCs w:val="22"/>
              </w:rPr>
            </w:pPr>
          </w:p>
          <w:p w14:paraId="089079F8" w14:textId="77777777" w:rsidR="00172AA6" w:rsidRPr="00B420E5" w:rsidRDefault="00172AA6" w:rsidP="00985018">
            <w:pPr>
              <w:spacing w:before="120" w:after="120"/>
              <w:rPr>
                <w:rFonts w:asciiTheme="minorHAnsi" w:hAnsiTheme="minorHAnsi" w:cstheme="minorHAnsi"/>
                <w:sz w:val="22"/>
                <w:szCs w:val="22"/>
              </w:rPr>
            </w:pPr>
          </w:p>
          <w:p w14:paraId="29A3DC3D"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$129.09</w:t>
            </w:r>
          </w:p>
        </w:tc>
      </w:tr>
      <w:tr w:rsidR="00172AA6" w:rsidRPr="00B420E5" w14:paraId="7A8B5518" w14:textId="77777777" w:rsidTr="00985018">
        <w:tc>
          <w:tcPr>
            <w:tcW w:w="562" w:type="dxa"/>
          </w:tcPr>
          <w:p w14:paraId="00540768"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D</w:t>
            </w:r>
          </w:p>
        </w:tc>
        <w:tc>
          <w:tcPr>
            <w:tcW w:w="2552" w:type="dxa"/>
          </w:tcPr>
          <w:p w14:paraId="32ACD29C"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Plus, Commonwealth Rent Assistance (CRA)</w:t>
            </w:r>
          </w:p>
        </w:tc>
        <w:tc>
          <w:tcPr>
            <w:tcW w:w="4678" w:type="dxa"/>
          </w:tcPr>
          <w:p w14:paraId="2B187C7F"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 xml:space="preserve">WPI will assess the amount of CRA that the renter is eligible to receive. </w:t>
            </w:r>
          </w:p>
          <w:p w14:paraId="656CE37C"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100% CRA is included in the weekly rent payment.</w:t>
            </w:r>
          </w:p>
        </w:tc>
        <w:tc>
          <w:tcPr>
            <w:tcW w:w="1224" w:type="dxa"/>
          </w:tcPr>
          <w:p w14:paraId="1D5FF39A"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$69.80</w:t>
            </w:r>
          </w:p>
          <w:p w14:paraId="05110F79" w14:textId="77777777" w:rsidR="00172AA6" w:rsidRPr="00B420E5" w:rsidRDefault="00172AA6" w:rsidP="00985018">
            <w:pPr>
              <w:spacing w:before="120" w:after="120"/>
              <w:rPr>
                <w:rFonts w:asciiTheme="minorHAnsi" w:hAnsiTheme="minorHAnsi" w:cstheme="minorHAnsi"/>
                <w:i/>
                <w:iCs/>
                <w:sz w:val="22"/>
                <w:szCs w:val="22"/>
              </w:rPr>
            </w:pPr>
            <w:r w:rsidRPr="00B420E5">
              <w:rPr>
                <w:rFonts w:asciiTheme="minorHAnsi" w:hAnsiTheme="minorHAnsi" w:cstheme="minorHAnsi"/>
                <w:i/>
                <w:iCs/>
                <w:sz w:val="22"/>
                <w:szCs w:val="22"/>
              </w:rPr>
              <w:t>Based on CRA for a single person as at Jan ‘21</w:t>
            </w:r>
          </w:p>
        </w:tc>
      </w:tr>
      <w:tr w:rsidR="00172AA6" w:rsidRPr="00B420E5" w14:paraId="52C00328" w14:textId="77777777" w:rsidTr="00985018">
        <w:tc>
          <w:tcPr>
            <w:tcW w:w="562" w:type="dxa"/>
          </w:tcPr>
          <w:p w14:paraId="4E4C6624"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E</w:t>
            </w:r>
          </w:p>
        </w:tc>
        <w:tc>
          <w:tcPr>
            <w:tcW w:w="2552" w:type="dxa"/>
          </w:tcPr>
          <w:p w14:paraId="63F7469F"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Rebated rent calculation (C+D)</w:t>
            </w:r>
          </w:p>
        </w:tc>
        <w:tc>
          <w:tcPr>
            <w:tcW w:w="4678" w:type="dxa"/>
          </w:tcPr>
          <w:p w14:paraId="205D2FE9"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Note that if (C + D) is more than B, we will only charge B</w:t>
            </w:r>
          </w:p>
        </w:tc>
        <w:tc>
          <w:tcPr>
            <w:tcW w:w="1224" w:type="dxa"/>
          </w:tcPr>
          <w:p w14:paraId="3203B192"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$198.89</w:t>
            </w:r>
          </w:p>
        </w:tc>
      </w:tr>
      <w:tr w:rsidR="00172AA6" w:rsidRPr="00B420E5" w14:paraId="29B00534" w14:textId="77777777" w:rsidTr="00985018">
        <w:tc>
          <w:tcPr>
            <w:tcW w:w="562" w:type="dxa"/>
          </w:tcPr>
          <w:p w14:paraId="2B45FC8F"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F</w:t>
            </w:r>
          </w:p>
        </w:tc>
        <w:tc>
          <w:tcPr>
            <w:tcW w:w="2552" w:type="dxa"/>
          </w:tcPr>
          <w:p w14:paraId="36F6CA6C"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Rental rebate (A-E)</w:t>
            </w:r>
          </w:p>
        </w:tc>
        <w:tc>
          <w:tcPr>
            <w:tcW w:w="4678" w:type="dxa"/>
          </w:tcPr>
          <w:p w14:paraId="34C06E39"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A rental rebate is the discount between the market rent for the property and the assessed rent based on the household income.</w:t>
            </w:r>
          </w:p>
        </w:tc>
        <w:tc>
          <w:tcPr>
            <w:tcW w:w="1224" w:type="dxa"/>
          </w:tcPr>
          <w:p w14:paraId="55514424"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$201.11</w:t>
            </w:r>
          </w:p>
        </w:tc>
      </w:tr>
      <w:tr w:rsidR="00172AA6" w:rsidRPr="00B420E5" w14:paraId="7B41B6C0" w14:textId="77777777" w:rsidTr="00985018">
        <w:tc>
          <w:tcPr>
            <w:tcW w:w="562" w:type="dxa"/>
          </w:tcPr>
          <w:p w14:paraId="60C4537C"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G</w:t>
            </w:r>
          </w:p>
        </w:tc>
        <w:tc>
          <w:tcPr>
            <w:tcW w:w="2552" w:type="dxa"/>
          </w:tcPr>
          <w:p w14:paraId="66C3B3B5"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Service charges (if applicable)</w:t>
            </w:r>
          </w:p>
        </w:tc>
        <w:tc>
          <w:tcPr>
            <w:tcW w:w="4678" w:type="dxa"/>
          </w:tcPr>
          <w:p w14:paraId="7CD203A9"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A service charge includes services that cannot be individually metered.</w:t>
            </w:r>
          </w:p>
          <w:p w14:paraId="1FE37397"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In this example it is $10.</w:t>
            </w:r>
          </w:p>
        </w:tc>
        <w:tc>
          <w:tcPr>
            <w:tcW w:w="1224" w:type="dxa"/>
          </w:tcPr>
          <w:p w14:paraId="73D631CF"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$10.00</w:t>
            </w:r>
          </w:p>
        </w:tc>
      </w:tr>
      <w:tr w:rsidR="00172AA6" w:rsidRPr="00B420E5" w14:paraId="2DF8F0D3" w14:textId="77777777" w:rsidTr="00985018">
        <w:tc>
          <w:tcPr>
            <w:tcW w:w="562" w:type="dxa"/>
            <w:shd w:val="clear" w:color="auto" w:fill="E2EFD9" w:themeFill="accent6" w:themeFillTint="33"/>
          </w:tcPr>
          <w:p w14:paraId="230CDAF7"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H</w:t>
            </w:r>
          </w:p>
        </w:tc>
        <w:tc>
          <w:tcPr>
            <w:tcW w:w="2552" w:type="dxa"/>
            <w:shd w:val="clear" w:color="auto" w:fill="E2EFD9" w:themeFill="accent6" w:themeFillTint="33"/>
          </w:tcPr>
          <w:p w14:paraId="3F38E8E8"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Weekly rent payment (E + G)</w:t>
            </w:r>
          </w:p>
        </w:tc>
        <w:tc>
          <w:tcPr>
            <w:tcW w:w="4678" w:type="dxa"/>
            <w:shd w:val="clear" w:color="auto" w:fill="E2EFD9" w:themeFill="accent6" w:themeFillTint="33"/>
          </w:tcPr>
          <w:p w14:paraId="054BE872" w14:textId="77777777" w:rsidR="00172AA6" w:rsidRPr="00B420E5" w:rsidRDefault="00172AA6" w:rsidP="00985018">
            <w:pPr>
              <w:spacing w:before="120" w:after="120"/>
              <w:rPr>
                <w:rFonts w:asciiTheme="minorHAnsi" w:hAnsiTheme="minorHAnsi" w:cstheme="minorHAnsi"/>
                <w:sz w:val="22"/>
                <w:szCs w:val="22"/>
              </w:rPr>
            </w:pPr>
            <w:r w:rsidRPr="00B420E5">
              <w:rPr>
                <w:rFonts w:asciiTheme="minorHAnsi" w:hAnsiTheme="minorHAnsi" w:cstheme="minorHAnsi"/>
                <w:sz w:val="22"/>
                <w:szCs w:val="22"/>
              </w:rPr>
              <w:t xml:space="preserve">This is the total rent amount that a renter will pay to WPI each week. </w:t>
            </w:r>
          </w:p>
        </w:tc>
        <w:tc>
          <w:tcPr>
            <w:tcW w:w="1224" w:type="dxa"/>
            <w:shd w:val="clear" w:color="auto" w:fill="E2EFD9" w:themeFill="accent6" w:themeFillTint="33"/>
          </w:tcPr>
          <w:p w14:paraId="4C2120ED" w14:textId="77777777" w:rsidR="00172AA6" w:rsidRPr="00B420E5" w:rsidRDefault="00172AA6" w:rsidP="00985018">
            <w:pPr>
              <w:spacing w:before="120" w:after="120"/>
              <w:jc w:val="right"/>
              <w:rPr>
                <w:rFonts w:asciiTheme="minorHAnsi" w:hAnsiTheme="minorHAnsi" w:cstheme="minorHAnsi"/>
                <w:sz w:val="22"/>
                <w:szCs w:val="22"/>
              </w:rPr>
            </w:pPr>
            <w:r w:rsidRPr="00B420E5">
              <w:rPr>
                <w:rFonts w:asciiTheme="minorHAnsi" w:hAnsiTheme="minorHAnsi" w:cstheme="minorHAnsi"/>
                <w:sz w:val="22"/>
                <w:szCs w:val="22"/>
              </w:rPr>
              <w:t>$208.89</w:t>
            </w:r>
          </w:p>
        </w:tc>
      </w:tr>
    </w:tbl>
    <w:p w14:paraId="0CB457F2" w14:textId="77777777" w:rsidR="00B420E5" w:rsidRPr="00B420E5" w:rsidRDefault="00B420E5" w:rsidP="00B420E5">
      <w:pPr>
        <w:spacing w:before="120" w:after="120"/>
        <w:rPr>
          <w:rFonts w:asciiTheme="minorHAnsi" w:hAnsiTheme="minorHAnsi" w:cstheme="minorHAnsi"/>
        </w:rPr>
      </w:pPr>
      <w:r w:rsidRPr="00C21F1D">
        <w:rPr>
          <w:b/>
          <w:bCs/>
          <w:sz w:val="24"/>
          <w:szCs w:val="24"/>
        </w:rPr>
        <w:t>*</w:t>
      </w:r>
      <w:r w:rsidRPr="00B420E5">
        <w:rPr>
          <w:rFonts w:asciiTheme="minorHAnsi" w:hAnsiTheme="minorHAnsi" w:cstheme="minorHAnsi"/>
          <w:i/>
          <w:iCs/>
        </w:rPr>
        <w:t xml:space="preserve">amounts / $ values used are for demonstration purposes only, and not accurate figures. Each category will be assessed on your individual circumstances. </w:t>
      </w:r>
    </w:p>
    <w:p w14:paraId="197F4349" w14:textId="763B4775" w:rsidR="004D45C2" w:rsidRDefault="004D45C2" w:rsidP="00262967">
      <w:pPr>
        <w:pStyle w:val="Numpara1"/>
        <w:numPr>
          <w:ilvl w:val="0"/>
          <w:numId w:val="0"/>
        </w:numPr>
        <w:spacing w:before="0"/>
        <w:ind w:left="851" w:hanging="851"/>
        <w:jc w:val="both"/>
        <w:rPr>
          <w:rFonts w:ascii="Calibri" w:hAnsi="Calibri" w:cs="Calibri"/>
          <w:sz w:val="22"/>
          <w:lang w:eastAsia="en-GB"/>
        </w:rPr>
      </w:pPr>
    </w:p>
    <w:sectPr w:rsidR="004D45C2" w:rsidSect="00F41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EFF9" w14:textId="77777777" w:rsidR="000E22B4" w:rsidRDefault="000E22B4">
      <w:r>
        <w:separator/>
      </w:r>
    </w:p>
  </w:endnote>
  <w:endnote w:type="continuationSeparator" w:id="0">
    <w:p w14:paraId="69904EF6" w14:textId="77777777" w:rsidR="000E22B4" w:rsidRDefault="000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Wingdings-Regular">
    <w:altName w:val="Wingdings"/>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40E9" w14:textId="77777777" w:rsidR="00EC2062" w:rsidRDefault="00F478C6">
    <w:pPr>
      <w:pStyle w:val="Footer"/>
    </w:pPr>
  </w:p>
  <w:p w14:paraId="5AB0DDAB" w14:textId="77777777" w:rsidR="00EC2062" w:rsidRPr="00807712" w:rsidRDefault="00574C0B">
    <w:pPr>
      <w:pStyle w:val="Footer"/>
      <w:rPr>
        <w:rFonts w:cs="Arial"/>
        <w:sz w:val="14"/>
      </w:rPr>
    </w:pPr>
    <w:r w:rsidRPr="00E11845">
      <w:rPr>
        <w:rFonts w:cs="Arial"/>
        <w:sz w:val="14"/>
      </w:rPr>
      <w:t>[5901724: 16942518_2]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5ADE" w14:textId="77777777" w:rsidR="00EC2062" w:rsidRPr="00F83386" w:rsidRDefault="00574C0B" w:rsidP="001F3E9B">
    <w:pPr>
      <w:pStyle w:val="PlainText"/>
      <w:spacing w:before="0" w:after="0"/>
      <w:rPr>
        <w:rFonts w:ascii="Calibri" w:hAnsi="Calibri" w:cs="Calibri"/>
      </w:rPr>
    </w:pPr>
    <w:r w:rsidRPr="00F83386">
      <w:rPr>
        <w:rFonts w:ascii="Calibri" w:hAnsi="Calibri" w:cs="Calibri"/>
        <w:szCs w:val="24"/>
        <w:lang w:val="en-US"/>
      </w:rPr>
      <w:t xml:space="preserve">POH1804 </w:t>
    </w:r>
    <w:r w:rsidRPr="00F83386">
      <w:rPr>
        <w:rFonts w:ascii="Calibri" w:hAnsi="Calibri" w:cs="Calibri"/>
      </w:rPr>
      <w:t xml:space="preserve">Rent Setting and </w:t>
    </w:r>
    <w:r>
      <w:rPr>
        <w:rFonts w:ascii="Calibri" w:hAnsi="Calibri" w:cs="Calibri"/>
      </w:rPr>
      <w:t>Rebate</w:t>
    </w:r>
    <w:r w:rsidRPr="00F83386">
      <w:rPr>
        <w:rFonts w:ascii="Calibri" w:hAnsi="Calibri" w:cs="Calibri"/>
      </w:rPr>
      <w:t xml:space="preserve"> Policy  </w:t>
    </w:r>
    <w:r w:rsidRPr="00F83386">
      <w:rPr>
        <w:rFonts w:ascii="Calibri" w:hAnsi="Calibri" w:cs="Calibri"/>
      </w:rPr>
      <w:tab/>
    </w:r>
    <w:r w:rsidRPr="00F83386">
      <w:rPr>
        <w:rFonts w:ascii="Calibri" w:hAnsi="Calibri" w:cs="Calibri"/>
      </w:rPr>
      <w:tab/>
    </w:r>
    <w:r w:rsidRPr="00F83386">
      <w:rPr>
        <w:rFonts w:ascii="Calibri" w:hAnsi="Calibri" w:cs="Calibri"/>
      </w:rPr>
      <w:tab/>
    </w:r>
  </w:p>
  <w:p w14:paraId="3CECE8FD" w14:textId="77777777" w:rsidR="00EC2062" w:rsidRDefault="00F478C6">
    <w:pPr>
      <w:pStyle w:val="Footer"/>
    </w:pPr>
  </w:p>
  <w:p w14:paraId="67B312CA" w14:textId="77777777" w:rsidR="00EC2062" w:rsidRDefault="00F478C6" w:rsidP="003610F8">
    <w:pPr>
      <w:pStyle w:val="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B49" w14:textId="77777777" w:rsidR="00EC2062" w:rsidRPr="00FE10B0" w:rsidRDefault="00574C0B">
    <w:pPr>
      <w:pStyle w:val="Footer"/>
      <w:rPr>
        <w:rFonts w:ascii="Calibri" w:hAnsi="Calibri" w:cs="Calibri"/>
        <w:color w:val="595959"/>
        <w:sz w:val="22"/>
        <w:szCs w:val="22"/>
      </w:rPr>
    </w:pPr>
    <w:r w:rsidRPr="00FE10B0">
      <w:rPr>
        <w:rFonts w:ascii="Calibri" w:hAnsi="Calibri" w:cs="Calibri"/>
        <w:color w:val="595959"/>
        <w:sz w:val="22"/>
        <w:szCs w:val="22"/>
      </w:rPr>
      <w:t xml:space="preserve">POH1804 Rent Setting and Rebate Policy  </w:t>
    </w:r>
  </w:p>
  <w:p w14:paraId="2CD126B4" w14:textId="77777777" w:rsidR="00EC2062" w:rsidRDefault="00F4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3DA4" w14:textId="77777777" w:rsidR="000E22B4" w:rsidRDefault="000E22B4">
      <w:r>
        <w:separator/>
      </w:r>
    </w:p>
  </w:footnote>
  <w:footnote w:type="continuationSeparator" w:id="0">
    <w:p w14:paraId="6C3F5EF4" w14:textId="77777777" w:rsidR="000E22B4" w:rsidRDefault="000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DB71" w14:textId="77777777" w:rsidR="006C794F" w:rsidRDefault="00F47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D99" w14:textId="77777777" w:rsidR="00EC2062" w:rsidRDefault="00574C0B" w:rsidP="0072655F">
    <w:pPr>
      <w:pStyle w:val="Header"/>
      <w:jc w:val="right"/>
    </w:pPr>
    <w:r>
      <w:rPr>
        <w:noProof/>
        <w:lang w:eastAsia="en-AU"/>
      </w:rPr>
      <w:drawing>
        <wp:inline distT="0" distB="0" distL="0" distR="0" wp14:anchorId="529A8355" wp14:editId="0CAD37E9">
          <wp:extent cx="1847850"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038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6858" w14:textId="77777777" w:rsidR="00EC2062" w:rsidRDefault="00574C0B" w:rsidP="003E36DD">
    <w:pPr>
      <w:pStyle w:val="Header"/>
      <w:jc w:val="right"/>
    </w:pPr>
    <w:r>
      <w:rPr>
        <w:noProof/>
        <w:lang w:eastAsia="en-AU"/>
      </w:rPr>
      <w:drawing>
        <wp:inline distT="0" distB="0" distL="0" distR="0" wp14:anchorId="6C46ABED" wp14:editId="6E3E8B78">
          <wp:extent cx="18097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769B80"/>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AAF64256"/>
    <w:lvl w:ilvl="0">
      <w:start w:val="1"/>
      <w:numFmt w:val="decimal"/>
      <w:pStyle w:val="Numpara1"/>
      <w:lvlText w:val="%1."/>
      <w:lvlJc w:val="left"/>
      <w:pPr>
        <w:ind w:left="851" w:hanging="851"/>
      </w:pPr>
      <w:rPr>
        <w:rFonts w:hint="default"/>
        <w:b/>
        <w:sz w:val="20"/>
        <w:szCs w:val="20"/>
      </w:rPr>
    </w:lvl>
    <w:lvl w:ilvl="1">
      <w:start w:val="1"/>
      <w:numFmt w:val="decimal"/>
      <w:pStyle w:val="Numpara2"/>
      <w:lvlText w:val="%1.%2"/>
      <w:lvlJc w:val="left"/>
      <w:pPr>
        <w:ind w:left="851" w:hanging="851"/>
      </w:pPr>
      <w:rPr>
        <w:rFonts w:hint="default"/>
        <w:b/>
        <w:sz w:val="20"/>
        <w:szCs w:val="20"/>
      </w:rPr>
    </w:lvl>
    <w:lvl w:ilvl="2">
      <w:start w:val="1"/>
      <w:numFmt w:val="bullet"/>
      <w:pStyle w:val="Numpara3"/>
      <w:lvlText w:val=""/>
      <w:lvlJc w:val="left"/>
      <w:pPr>
        <w:ind w:left="1701" w:hanging="850"/>
      </w:pPr>
      <w:rPr>
        <w:rFonts w:ascii="Symbol" w:hAnsi="Symbol"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BF01D52"/>
    <w:multiLevelType w:val="hybridMultilevel"/>
    <w:tmpl w:val="1EA89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E29D7"/>
    <w:multiLevelType w:val="hybridMultilevel"/>
    <w:tmpl w:val="8CB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43498"/>
    <w:multiLevelType w:val="hybridMultilevel"/>
    <w:tmpl w:val="D5F2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003A2"/>
    <w:multiLevelType w:val="hybridMultilevel"/>
    <w:tmpl w:val="6C8A5F20"/>
    <w:lvl w:ilvl="0" w:tplc="D46A775A">
      <w:start w:val="1"/>
      <w:numFmt w:val="lowerLetter"/>
      <w:lvlText w:val="(%1)"/>
      <w:lvlJc w:val="left"/>
      <w:pPr>
        <w:ind w:left="720" w:hanging="360"/>
      </w:pPr>
      <w:rPr>
        <w:rFonts w:ascii="Calibri" w:eastAsia="Times New Roman"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24217"/>
    <w:multiLevelType w:val="hybridMultilevel"/>
    <w:tmpl w:val="8BC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57C6E"/>
    <w:multiLevelType w:val="hybridMultilevel"/>
    <w:tmpl w:val="C6D4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703B6"/>
    <w:multiLevelType w:val="hybridMultilevel"/>
    <w:tmpl w:val="0646F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877E29"/>
    <w:multiLevelType w:val="hybridMultilevel"/>
    <w:tmpl w:val="7508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C3625A"/>
    <w:multiLevelType w:val="multilevel"/>
    <w:tmpl w:val="57F6E5F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FD44587"/>
    <w:multiLevelType w:val="hybridMultilevel"/>
    <w:tmpl w:val="2C4A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F16BE"/>
    <w:multiLevelType w:val="hybridMultilevel"/>
    <w:tmpl w:val="6118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095024">
    <w:abstractNumId w:val="1"/>
  </w:num>
  <w:num w:numId="2" w16cid:durableId="808061294">
    <w:abstractNumId w:val="11"/>
  </w:num>
  <w:num w:numId="3" w16cid:durableId="1147090041">
    <w:abstractNumId w:val="0"/>
  </w:num>
  <w:num w:numId="4" w16cid:durableId="1524784540">
    <w:abstractNumId w:val="7"/>
  </w:num>
  <w:num w:numId="5" w16cid:durableId="174417290">
    <w:abstractNumId w:val="5"/>
  </w:num>
  <w:num w:numId="6" w16cid:durableId="2062901663">
    <w:abstractNumId w:val="9"/>
  </w:num>
  <w:num w:numId="7" w16cid:durableId="1086806571">
    <w:abstractNumId w:val="10"/>
  </w:num>
  <w:num w:numId="8" w16cid:durableId="477575709">
    <w:abstractNumId w:val="2"/>
  </w:num>
  <w:num w:numId="9" w16cid:durableId="1969504496">
    <w:abstractNumId w:val="8"/>
  </w:num>
  <w:num w:numId="10" w16cid:durableId="1385984686">
    <w:abstractNumId w:val="3"/>
  </w:num>
  <w:num w:numId="11" w16cid:durableId="1910381470">
    <w:abstractNumId w:val="4"/>
  </w:num>
  <w:num w:numId="12" w16cid:durableId="2143960496">
    <w:abstractNumId w:val="12"/>
  </w:num>
  <w:num w:numId="13" w16cid:durableId="566914606">
    <w:abstractNumId w:val="14"/>
  </w:num>
  <w:num w:numId="14" w16cid:durableId="1558131162">
    <w:abstractNumId w:val="13"/>
  </w:num>
  <w:num w:numId="15" w16cid:durableId="1612545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07"/>
    <w:rsid w:val="000053ED"/>
    <w:rsid w:val="0001350F"/>
    <w:rsid w:val="00025D4B"/>
    <w:rsid w:val="00050CE4"/>
    <w:rsid w:val="0007236B"/>
    <w:rsid w:val="00081847"/>
    <w:rsid w:val="000A2F97"/>
    <w:rsid w:val="000C202C"/>
    <w:rsid w:val="000E1B6C"/>
    <w:rsid w:val="000E22B4"/>
    <w:rsid w:val="00150607"/>
    <w:rsid w:val="00172AA6"/>
    <w:rsid w:val="0017336A"/>
    <w:rsid w:val="00177FFC"/>
    <w:rsid w:val="001847D7"/>
    <w:rsid w:val="00196CCA"/>
    <w:rsid w:val="002035DF"/>
    <w:rsid w:val="00235E30"/>
    <w:rsid w:val="00254F9B"/>
    <w:rsid w:val="00262967"/>
    <w:rsid w:val="002727DC"/>
    <w:rsid w:val="00295489"/>
    <w:rsid w:val="002D63FA"/>
    <w:rsid w:val="00350865"/>
    <w:rsid w:val="003570BA"/>
    <w:rsid w:val="003B3950"/>
    <w:rsid w:val="003D2421"/>
    <w:rsid w:val="003F626E"/>
    <w:rsid w:val="0040050D"/>
    <w:rsid w:val="00442D45"/>
    <w:rsid w:val="00452693"/>
    <w:rsid w:val="00457612"/>
    <w:rsid w:val="004A0ABA"/>
    <w:rsid w:val="004A1E37"/>
    <w:rsid w:val="004D2154"/>
    <w:rsid w:val="004D45C2"/>
    <w:rsid w:val="00502728"/>
    <w:rsid w:val="00524245"/>
    <w:rsid w:val="00574C0B"/>
    <w:rsid w:val="0057563E"/>
    <w:rsid w:val="0062378E"/>
    <w:rsid w:val="00625E12"/>
    <w:rsid w:val="00635041"/>
    <w:rsid w:val="00640310"/>
    <w:rsid w:val="00692F09"/>
    <w:rsid w:val="00697768"/>
    <w:rsid w:val="006A432E"/>
    <w:rsid w:val="006B1E2F"/>
    <w:rsid w:val="00772DA5"/>
    <w:rsid w:val="00792A06"/>
    <w:rsid w:val="007B2175"/>
    <w:rsid w:val="00810BEE"/>
    <w:rsid w:val="0082014D"/>
    <w:rsid w:val="00831178"/>
    <w:rsid w:val="008E01D3"/>
    <w:rsid w:val="0090170E"/>
    <w:rsid w:val="00943477"/>
    <w:rsid w:val="009645F8"/>
    <w:rsid w:val="0099136C"/>
    <w:rsid w:val="00995341"/>
    <w:rsid w:val="009A4B62"/>
    <w:rsid w:val="009B518C"/>
    <w:rsid w:val="009E1F82"/>
    <w:rsid w:val="00A16EA7"/>
    <w:rsid w:val="00A85EAF"/>
    <w:rsid w:val="00AA3BDA"/>
    <w:rsid w:val="00AC38A0"/>
    <w:rsid w:val="00AD261B"/>
    <w:rsid w:val="00AD2FDD"/>
    <w:rsid w:val="00B275D5"/>
    <w:rsid w:val="00B376E0"/>
    <w:rsid w:val="00B420E5"/>
    <w:rsid w:val="00B843D2"/>
    <w:rsid w:val="00BA75AE"/>
    <w:rsid w:val="00BB3A4D"/>
    <w:rsid w:val="00BD222D"/>
    <w:rsid w:val="00BD4E8C"/>
    <w:rsid w:val="00C95FAA"/>
    <w:rsid w:val="00CA4C85"/>
    <w:rsid w:val="00D637A6"/>
    <w:rsid w:val="00DA585A"/>
    <w:rsid w:val="00DB0B07"/>
    <w:rsid w:val="00DB5BD7"/>
    <w:rsid w:val="00DB7AB2"/>
    <w:rsid w:val="00E06448"/>
    <w:rsid w:val="00E16AB2"/>
    <w:rsid w:val="00E858BA"/>
    <w:rsid w:val="00E9611D"/>
    <w:rsid w:val="00EA5922"/>
    <w:rsid w:val="00EB2EAF"/>
    <w:rsid w:val="00F05E13"/>
    <w:rsid w:val="00F41528"/>
    <w:rsid w:val="00F46AF3"/>
    <w:rsid w:val="00FB3242"/>
    <w:rsid w:val="00FB75B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78AC"/>
  <w15:chartTrackingRefBased/>
  <w15:docId w15:val="{FF027A91-BEEC-478E-B2CA-54E48669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6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rsid w:val="00150607"/>
    <w:pPr>
      <w:keepNext/>
      <w:numPr>
        <w:numId w:val="3"/>
      </w:numPr>
      <w:pBdr>
        <w:top w:val="single" w:sz="4" w:space="6" w:color="auto"/>
      </w:pBdr>
      <w:spacing w:before="480"/>
      <w:outlineLvl w:val="0"/>
    </w:pPr>
    <w:rPr>
      <w:b/>
      <w:kern w:val="28"/>
      <w:sz w:val="22"/>
    </w:rPr>
  </w:style>
  <w:style w:type="paragraph" w:styleId="Heading2">
    <w:name w:val="heading 2"/>
    <w:basedOn w:val="Normal"/>
    <w:next w:val="Normal"/>
    <w:link w:val="Heading2Char"/>
    <w:rsid w:val="00150607"/>
    <w:pPr>
      <w:keepNext/>
      <w:numPr>
        <w:ilvl w:val="1"/>
        <w:numId w:val="3"/>
      </w:numPr>
      <w:spacing w:before="240"/>
      <w:outlineLvl w:val="1"/>
    </w:pPr>
    <w:rPr>
      <w:b/>
    </w:rPr>
  </w:style>
  <w:style w:type="paragraph" w:styleId="Heading3">
    <w:name w:val="heading 3"/>
    <w:basedOn w:val="Normal"/>
    <w:link w:val="Heading3Char"/>
    <w:qFormat/>
    <w:rsid w:val="00150607"/>
    <w:pPr>
      <w:numPr>
        <w:ilvl w:val="2"/>
        <w:numId w:val="3"/>
      </w:numPr>
      <w:spacing w:before="240"/>
      <w:outlineLvl w:val="2"/>
    </w:pPr>
  </w:style>
  <w:style w:type="paragraph" w:styleId="Heading4">
    <w:name w:val="heading 4"/>
    <w:basedOn w:val="Normal"/>
    <w:link w:val="Heading4Char"/>
    <w:qFormat/>
    <w:rsid w:val="00150607"/>
    <w:pPr>
      <w:numPr>
        <w:ilvl w:val="3"/>
        <w:numId w:val="3"/>
      </w:numPr>
      <w:spacing w:before="240"/>
      <w:outlineLvl w:val="3"/>
    </w:pPr>
  </w:style>
  <w:style w:type="paragraph" w:styleId="Heading5">
    <w:name w:val="heading 5"/>
    <w:basedOn w:val="Normal"/>
    <w:link w:val="Heading5Char"/>
    <w:qFormat/>
    <w:rsid w:val="00150607"/>
    <w:pPr>
      <w:numPr>
        <w:ilvl w:val="4"/>
        <w:numId w:val="3"/>
      </w:num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1">
    <w:name w:val="Numpara1"/>
    <w:basedOn w:val="Normal"/>
    <w:qFormat/>
    <w:rsid w:val="00150607"/>
    <w:pPr>
      <w:numPr>
        <w:numId w:val="1"/>
      </w:numPr>
      <w:spacing w:before="240"/>
    </w:pPr>
    <w:rPr>
      <w:rFonts w:cs="Arial"/>
      <w:szCs w:val="22"/>
    </w:rPr>
  </w:style>
  <w:style w:type="paragraph" w:customStyle="1" w:styleId="Numpara2">
    <w:name w:val="Numpara2"/>
    <w:basedOn w:val="Normal"/>
    <w:qFormat/>
    <w:rsid w:val="00150607"/>
    <w:pPr>
      <w:numPr>
        <w:ilvl w:val="1"/>
        <w:numId w:val="1"/>
      </w:numPr>
      <w:spacing w:before="240"/>
    </w:pPr>
    <w:rPr>
      <w:rFonts w:cs="Arial"/>
      <w:szCs w:val="22"/>
    </w:rPr>
  </w:style>
  <w:style w:type="paragraph" w:customStyle="1" w:styleId="Numpara3">
    <w:name w:val="Numpara3"/>
    <w:basedOn w:val="Normal"/>
    <w:qFormat/>
    <w:rsid w:val="00150607"/>
    <w:pPr>
      <w:numPr>
        <w:ilvl w:val="2"/>
        <w:numId w:val="1"/>
      </w:numPr>
      <w:spacing w:before="240"/>
    </w:pPr>
    <w:rPr>
      <w:rFonts w:cs="Arial"/>
      <w:szCs w:val="22"/>
    </w:rPr>
  </w:style>
  <w:style w:type="paragraph" w:customStyle="1" w:styleId="Numpara4">
    <w:name w:val="Numpara4"/>
    <w:basedOn w:val="Normal"/>
    <w:qFormat/>
    <w:rsid w:val="00150607"/>
    <w:pPr>
      <w:numPr>
        <w:ilvl w:val="3"/>
        <w:numId w:val="1"/>
      </w:numPr>
      <w:spacing w:before="240"/>
    </w:pPr>
    <w:rPr>
      <w:rFonts w:cs="Arial"/>
      <w:szCs w:val="22"/>
    </w:rPr>
  </w:style>
  <w:style w:type="character" w:customStyle="1" w:styleId="Heading1Char">
    <w:name w:val="Heading 1 Char"/>
    <w:basedOn w:val="DefaultParagraphFont"/>
    <w:link w:val="Heading1"/>
    <w:rsid w:val="00150607"/>
    <w:rPr>
      <w:rFonts w:ascii="Arial" w:eastAsia="Times New Roman" w:hAnsi="Arial" w:cs="Times New Roman"/>
      <w:b/>
      <w:kern w:val="28"/>
      <w:szCs w:val="20"/>
    </w:rPr>
  </w:style>
  <w:style w:type="character" w:customStyle="1" w:styleId="Heading2Char">
    <w:name w:val="Heading 2 Char"/>
    <w:basedOn w:val="DefaultParagraphFont"/>
    <w:link w:val="Heading2"/>
    <w:rsid w:val="00150607"/>
    <w:rPr>
      <w:rFonts w:ascii="Arial" w:eastAsia="Times New Roman" w:hAnsi="Arial" w:cs="Times New Roman"/>
      <w:b/>
      <w:sz w:val="20"/>
      <w:szCs w:val="20"/>
    </w:rPr>
  </w:style>
  <w:style w:type="character" w:customStyle="1" w:styleId="Heading3Char">
    <w:name w:val="Heading 3 Char"/>
    <w:basedOn w:val="DefaultParagraphFont"/>
    <w:link w:val="Heading3"/>
    <w:rsid w:val="00150607"/>
    <w:rPr>
      <w:rFonts w:ascii="Arial" w:eastAsia="Times New Roman" w:hAnsi="Arial" w:cs="Times New Roman"/>
      <w:sz w:val="20"/>
      <w:szCs w:val="20"/>
    </w:rPr>
  </w:style>
  <w:style w:type="character" w:customStyle="1" w:styleId="Heading4Char">
    <w:name w:val="Heading 4 Char"/>
    <w:basedOn w:val="DefaultParagraphFont"/>
    <w:link w:val="Heading4"/>
    <w:rsid w:val="00150607"/>
    <w:rPr>
      <w:rFonts w:ascii="Arial" w:eastAsia="Times New Roman" w:hAnsi="Arial" w:cs="Times New Roman"/>
      <w:sz w:val="20"/>
      <w:szCs w:val="20"/>
    </w:rPr>
  </w:style>
  <w:style w:type="character" w:customStyle="1" w:styleId="Heading5Char">
    <w:name w:val="Heading 5 Char"/>
    <w:basedOn w:val="DefaultParagraphFont"/>
    <w:link w:val="Heading5"/>
    <w:rsid w:val="00150607"/>
    <w:rPr>
      <w:rFonts w:ascii="Arial" w:eastAsia="Times New Roman" w:hAnsi="Arial" w:cs="Times New Roman"/>
      <w:sz w:val="20"/>
      <w:szCs w:val="20"/>
    </w:rPr>
  </w:style>
  <w:style w:type="paragraph" w:styleId="ListParagraph">
    <w:name w:val="List Paragraph"/>
    <w:basedOn w:val="Normal"/>
    <w:uiPriority w:val="34"/>
    <w:qFormat/>
    <w:rsid w:val="00150607"/>
    <w:pPr>
      <w:ind w:left="720"/>
    </w:pPr>
  </w:style>
  <w:style w:type="character" w:styleId="CommentReference">
    <w:name w:val="annotation reference"/>
    <w:basedOn w:val="DefaultParagraphFont"/>
    <w:uiPriority w:val="99"/>
    <w:semiHidden/>
    <w:unhideWhenUsed/>
    <w:rsid w:val="004D45C2"/>
    <w:rPr>
      <w:sz w:val="16"/>
      <w:szCs w:val="16"/>
    </w:rPr>
  </w:style>
  <w:style w:type="paragraph" w:styleId="CommentText">
    <w:name w:val="annotation text"/>
    <w:basedOn w:val="Normal"/>
    <w:link w:val="CommentTextChar"/>
    <w:uiPriority w:val="99"/>
    <w:unhideWhenUsed/>
    <w:rsid w:val="004D45C2"/>
  </w:style>
  <w:style w:type="character" w:customStyle="1" w:styleId="CommentTextChar">
    <w:name w:val="Comment Text Char"/>
    <w:basedOn w:val="DefaultParagraphFont"/>
    <w:link w:val="CommentText"/>
    <w:uiPriority w:val="99"/>
    <w:rsid w:val="004D45C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45C2"/>
    <w:rPr>
      <w:b/>
      <w:bCs/>
    </w:rPr>
  </w:style>
  <w:style w:type="character" w:customStyle="1" w:styleId="CommentSubjectChar">
    <w:name w:val="Comment Subject Char"/>
    <w:basedOn w:val="CommentTextChar"/>
    <w:link w:val="CommentSubject"/>
    <w:uiPriority w:val="99"/>
    <w:semiHidden/>
    <w:rsid w:val="004D45C2"/>
    <w:rPr>
      <w:rFonts w:ascii="Arial" w:eastAsia="Times New Roman" w:hAnsi="Arial" w:cs="Times New Roman"/>
      <w:b/>
      <w:bCs/>
      <w:sz w:val="20"/>
      <w:szCs w:val="20"/>
    </w:rPr>
  </w:style>
  <w:style w:type="character" w:customStyle="1" w:styleId="fontstyle01">
    <w:name w:val="fontstyle01"/>
    <w:basedOn w:val="DefaultParagraphFont"/>
    <w:rsid w:val="004D45C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05E13"/>
    <w:rPr>
      <w:rFonts w:ascii="Calibri-Bold" w:hAnsi="Calibri-Bold" w:hint="default"/>
      <w:b/>
      <w:bCs/>
      <w:i w:val="0"/>
      <w:iCs w:val="0"/>
      <w:color w:val="000000"/>
      <w:sz w:val="22"/>
      <w:szCs w:val="22"/>
    </w:rPr>
  </w:style>
  <w:style w:type="character" w:customStyle="1" w:styleId="fontstyle31">
    <w:name w:val="fontstyle31"/>
    <w:basedOn w:val="DefaultParagraphFont"/>
    <w:rsid w:val="00F05E13"/>
    <w:rPr>
      <w:rFonts w:ascii="Wingdings-Regular" w:hAnsi="Wingdings-Regular" w:hint="default"/>
      <w:b w:val="0"/>
      <w:bCs w:val="0"/>
      <w:i w:val="0"/>
      <w:iCs w:val="0"/>
      <w:color w:val="2BBBAC"/>
      <w:sz w:val="22"/>
      <w:szCs w:val="22"/>
    </w:rPr>
  </w:style>
  <w:style w:type="paragraph" w:customStyle="1" w:styleId="pageNumber">
    <w:name w:val="pageNumber"/>
    <w:basedOn w:val="Normal"/>
    <w:qFormat/>
    <w:rsid w:val="00B376E0"/>
    <w:pPr>
      <w:tabs>
        <w:tab w:val="right" w:pos="9072"/>
      </w:tabs>
    </w:pPr>
    <w:rPr>
      <w:sz w:val="14"/>
      <w:szCs w:val="14"/>
    </w:rPr>
  </w:style>
  <w:style w:type="paragraph" w:styleId="Header">
    <w:name w:val="header"/>
    <w:basedOn w:val="Normal"/>
    <w:link w:val="HeaderChar"/>
    <w:uiPriority w:val="99"/>
    <w:semiHidden/>
    <w:rsid w:val="00B376E0"/>
    <w:pPr>
      <w:tabs>
        <w:tab w:val="center" w:pos="4513"/>
        <w:tab w:val="right" w:pos="9026"/>
      </w:tabs>
    </w:pPr>
  </w:style>
  <w:style w:type="character" w:customStyle="1" w:styleId="HeaderChar">
    <w:name w:val="Header Char"/>
    <w:basedOn w:val="DefaultParagraphFont"/>
    <w:link w:val="Header"/>
    <w:uiPriority w:val="99"/>
    <w:semiHidden/>
    <w:rsid w:val="00B376E0"/>
    <w:rPr>
      <w:rFonts w:ascii="Arial" w:eastAsia="Times New Roman" w:hAnsi="Arial" w:cs="Times New Roman"/>
      <w:sz w:val="20"/>
      <w:szCs w:val="20"/>
    </w:rPr>
  </w:style>
  <w:style w:type="paragraph" w:styleId="Footer">
    <w:name w:val="footer"/>
    <w:basedOn w:val="Normal"/>
    <w:link w:val="FooterChar"/>
    <w:uiPriority w:val="99"/>
    <w:rsid w:val="00B376E0"/>
    <w:pPr>
      <w:tabs>
        <w:tab w:val="center" w:pos="4513"/>
        <w:tab w:val="right" w:pos="9026"/>
      </w:tabs>
    </w:pPr>
  </w:style>
  <w:style w:type="character" w:customStyle="1" w:styleId="FooterChar">
    <w:name w:val="Footer Char"/>
    <w:basedOn w:val="DefaultParagraphFont"/>
    <w:link w:val="Footer"/>
    <w:uiPriority w:val="99"/>
    <w:rsid w:val="00B376E0"/>
    <w:rPr>
      <w:rFonts w:ascii="Arial" w:eastAsia="Times New Roman" w:hAnsi="Arial" w:cs="Times New Roman"/>
      <w:sz w:val="20"/>
      <w:szCs w:val="20"/>
    </w:rPr>
  </w:style>
  <w:style w:type="character" w:styleId="Hyperlink">
    <w:name w:val="Hyperlink"/>
    <w:uiPriority w:val="99"/>
    <w:rsid w:val="00B376E0"/>
    <w:rPr>
      <w:color w:val="0000FF"/>
      <w:u w:val="single"/>
    </w:rPr>
  </w:style>
  <w:style w:type="paragraph" w:styleId="PlainText">
    <w:name w:val="Plain Text"/>
    <w:basedOn w:val="Normal"/>
    <w:link w:val="PlainTextChar"/>
    <w:unhideWhenUsed/>
    <w:rsid w:val="00B376E0"/>
    <w:pPr>
      <w:spacing w:before="40" w:after="40"/>
      <w:contextualSpacing/>
    </w:pPr>
    <w:rPr>
      <w:rFonts w:ascii="Book Antiqua" w:hAnsi="Book Antiqua"/>
      <w:sz w:val="22"/>
      <w:lang w:eastAsia="x-none"/>
    </w:rPr>
  </w:style>
  <w:style w:type="character" w:customStyle="1" w:styleId="PlainTextChar">
    <w:name w:val="Plain Text Char"/>
    <w:basedOn w:val="DefaultParagraphFont"/>
    <w:link w:val="PlainText"/>
    <w:rsid w:val="00B376E0"/>
    <w:rPr>
      <w:rFonts w:ascii="Book Antiqua" w:eastAsia="Times New Roman" w:hAnsi="Book Antiqua" w:cs="Times New Roman"/>
      <w:szCs w:val="20"/>
      <w:lang w:eastAsia="x-none"/>
    </w:rPr>
  </w:style>
  <w:style w:type="character" w:customStyle="1" w:styleId="UnresolvedMention1">
    <w:name w:val="Unresolved Mention1"/>
    <w:basedOn w:val="DefaultParagraphFont"/>
    <w:uiPriority w:val="99"/>
    <w:semiHidden/>
    <w:unhideWhenUsed/>
    <w:rsid w:val="0057563E"/>
    <w:rPr>
      <w:color w:val="605E5C"/>
      <w:shd w:val="clear" w:color="auto" w:fill="E1DFDD"/>
    </w:rPr>
  </w:style>
  <w:style w:type="paragraph" w:styleId="BalloonText">
    <w:name w:val="Balloon Text"/>
    <w:basedOn w:val="Normal"/>
    <w:link w:val="BalloonTextChar"/>
    <w:uiPriority w:val="99"/>
    <w:semiHidden/>
    <w:unhideWhenUsed/>
    <w:rsid w:val="009E1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82"/>
    <w:rPr>
      <w:rFonts w:ascii="Segoe UI" w:eastAsia="Times New Roman" w:hAnsi="Segoe UI" w:cs="Segoe UI"/>
      <w:sz w:val="18"/>
      <w:szCs w:val="18"/>
    </w:rPr>
  </w:style>
  <w:style w:type="paragraph" w:styleId="Revision">
    <w:name w:val="Revision"/>
    <w:hidden/>
    <w:uiPriority w:val="99"/>
    <w:semiHidden/>
    <w:rsid w:val="00AA3BDA"/>
    <w:pPr>
      <w:spacing w:after="0" w:line="240" w:lineRule="auto"/>
    </w:pPr>
    <w:rPr>
      <w:rFonts w:ascii="Arial" w:eastAsia="Times New Roman" w:hAnsi="Arial" w:cs="Times New Roman"/>
      <w:sz w:val="20"/>
      <w:szCs w:val="20"/>
    </w:rPr>
  </w:style>
  <w:style w:type="table" w:styleId="TableGrid">
    <w:name w:val="Table Grid"/>
    <w:basedOn w:val="TableNormal"/>
    <w:uiPriority w:val="39"/>
    <w:rsid w:val="0017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pi.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iders.dffh.vic.gov.au/guidelines-registered-housing-agen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hs.vic.gov.au/about-the-department/documents-and-resources/policies,-guidelines-and-legislation/guidelines-for-registered-housing-agenc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0361890654E418BFBFAFC8C0CB34D" ma:contentTypeVersion="16" ma:contentTypeDescription="Create a new document." ma:contentTypeScope="" ma:versionID="7978b6a520b7b21f912525649c742752">
  <xsd:schema xmlns:xsd="http://www.w3.org/2001/XMLSchema" xmlns:xs="http://www.w3.org/2001/XMLSchema" xmlns:p="http://schemas.microsoft.com/office/2006/metadata/properties" xmlns:ns2="c7d0b5c3-6ba3-489e-a281-d6bfdea15d09" xmlns:ns3="6d03ba24-d956-4b8e-a130-582a8a802a7a" targetNamespace="http://schemas.microsoft.com/office/2006/metadata/properties" ma:root="true" ma:fieldsID="50478836198fd793eadb26c21c93396d" ns2:_="" ns3:_="">
    <xsd:import namespace="c7d0b5c3-6ba3-489e-a281-d6bfdea15d09"/>
    <xsd:import namespace="6d03ba24-d956-4b8e-a130-582a8a802a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b5c3-6ba3-489e-a281-d6bfdea15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882079-08dd-4375-bfb6-b0ac5c0f1c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03ba24-d956-4b8e-a130-582a8a802a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6681be-4283-4101-90ee-efe59e532253}" ma:internalName="TaxCatchAll" ma:showField="CatchAllData" ma:web="6d03ba24-d956-4b8e-a130-582a8a80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03ba24-d956-4b8e-a130-582a8a802a7a" xsi:nil="true"/>
    <lcf76f155ced4ddcb4097134ff3c332f xmlns="c7d0b5c3-6ba3-489e-a281-d6bfdea15d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74FE7-32DF-4149-BC50-7501C89B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b5c3-6ba3-489e-a281-d6bfdea15d09"/>
    <ds:schemaRef ds:uri="6d03ba24-d956-4b8e-a130-582a8a80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9B2D4-AD92-4029-B9B2-3F5E36FABF63}">
  <ds:schemaRefs>
    <ds:schemaRef ds:uri="http://schemas.microsoft.com/office/2006/metadata/properties"/>
    <ds:schemaRef ds:uri="http://schemas.microsoft.com/office/infopath/2007/PartnerControls"/>
    <ds:schemaRef ds:uri="6d03ba24-d956-4b8e-a130-582a8a802a7a"/>
    <ds:schemaRef ds:uri="c7d0b5c3-6ba3-489e-a281-d6bfdea15d09"/>
  </ds:schemaRefs>
</ds:datastoreItem>
</file>

<file path=customXml/itemProps3.xml><?xml version="1.0" encoding="utf-8"?>
<ds:datastoreItem xmlns:ds="http://schemas.openxmlformats.org/officeDocument/2006/customXml" ds:itemID="{BF7BE87D-7F28-415E-A2E4-E06725D0C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7833</Characters>
  <Application>Microsoft Office Word</Application>
  <DocSecurity>0</DocSecurity>
  <Lines>261</Lines>
  <Paragraphs>186</Paragraphs>
  <ScaleCrop>false</ScaleCrop>
  <HeadingPairs>
    <vt:vector size="2" baseType="variant">
      <vt:variant>
        <vt:lpstr>Title</vt:lpstr>
      </vt:variant>
      <vt:variant>
        <vt:i4>1</vt:i4>
      </vt:variant>
    </vt:vector>
  </HeadingPairs>
  <TitlesOfParts>
    <vt:vector size="1" baseType="lpstr">
      <vt:lpstr>DMR 312256-00001</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DMR 312256-00001</dc:title>
  <dc:subject/>
  <dc:creator>DMR  13560785v2 DMR</dc:creator>
  <cp:keywords/>
  <dc:description/>
  <cp:lastModifiedBy>Colette McInerney</cp:lastModifiedBy>
  <cp:revision>2</cp:revision>
  <dcterms:created xsi:type="dcterms:W3CDTF">2022-07-29T00:35:00Z</dcterms:created>
  <dcterms:modified xsi:type="dcterms:W3CDTF">2022-07-29T00:35:00Z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0x0101005F50361890654E418BFBFAFC8C0CB34D</vt:lpwstr>
  </property>
  <property fmtid="{D5CDD505-2E9C-101B-9397-08002B2CF9AE}" pid="3" name="MediaServiceImageTags">
    <vt:lpwstr/>
  </property>
</Properties>
</file>